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91" w:rsidRDefault="00A36B91" w:rsidP="00A36B91">
      <w:pPr>
        <w:pStyle w:val="Heading1"/>
      </w:pPr>
      <w:r>
        <w:t>IRM and MDTC Reports</w:t>
      </w:r>
    </w:p>
    <w:p w:rsidR="00A36B91" w:rsidRDefault="00A36B91" w:rsidP="00A36B91"/>
    <w:p w:rsidR="00A36B91" w:rsidRDefault="00A36B91" w:rsidP="00A36B91">
      <w:r>
        <w:t>There are a nu</w:t>
      </w:r>
      <w:r w:rsidR="00F65B67">
        <w:t xml:space="preserve">mber of new reports, both in  FAB / UI and </w:t>
      </w:r>
      <w:r>
        <w:t xml:space="preserve"> Cognos BI</w:t>
      </w:r>
      <w:r w:rsidR="00543E3D">
        <w:t>,</w:t>
      </w:r>
      <w:r>
        <w:t xml:space="preserve"> </w:t>
      </w:r>
      <w:r w:rsidR="00F65B67">
        <w:t xml:space="preserve">for monitoring </w:t>
      </w:r>
      <w:r w:rsidR="00996F7A">
        <w:t>MTDC</w:t>
      </w:r>
      <w:r w:rsidR="00F65B67">
        <w:t xml:space="preserve">, providing information to help with MTDC projections as well as </w:t>
      </w:r>
      <w:r w:rsidR="00543E3D">
        <w:t>some designed specifically to</w:t>
      </w:r>
      <w:r w:rsidR="00F65B67">
        <w:t xml:space="preserve"> </w:t>
      </w:r>
      <w:r w:rsidR="00543E3D">
        <w:t>observe</w:t>
      </w:r>
      <w:r>
        <w:t xml:space="preserve"> the impact of interim rate changes.  This document describes the</w:t>
      </w:r>
      <w:r w:rsidR="00F65B67">
        <w:t xml:space="preserve"> content and</w:t>
      </w:r>
      <w:r>
        <w:t xml:space="preserve"> purpose of each report and provides typical </w:t>
      </w:r>
      <w:r w:rsidR="00654139">
        <w:t>selection criteria for running/viewing the report.</w:t>
      </w:r>
    </w:p>
    <w:p w:rsidR="00A36B91" w:rsidRDefault="00A36B91" w:rsidP="00A36B91"/>
    <w:p w:rsidR="00E84895" w:rsidRPr="00737134" w:rsidRDefault="00E84895" w:rsidP="00E84895">
      <w:pPr>
        <w:rPr>
          <w:rFonts w:cs="Arial"/>
          <w:b/>
          <w:bCs/>
          <w:color w:val="548DD4" w:themeColor="text2" w:themeTint="99"/>
          <w:szCs w:val="20"/>
        </w:rPr>
      </w:pPr>
      <w:r w:rsidRPr="00737134">
        <w:rPr>
          <w:rFonts w:cs="Arial"/>
          <w:b/>
          <w:bCs/>
          <w:color w:val="548DD4" w:themeColor="text2" w:themeTint="99"/>
          <w:szCs w:val="20"/>
        </w:rPr>
        <w:t>The FAB / UI Reports which are available within the IR Projections Application include:</w:t>
      </w:r>
    </w:p>
    <w:p w:rsidR="00E84895" w:rsidRPr="003A4409" w:rsidRDefault="00E84895" w:rsidP="00E84895">
      <w:pPr>
        <w:rPr>
          <w:highlight w:val="lightGray"/>
        </w:rPr>
      </w:pPr>
      <w:r w:rsidRPr="004D2EEF">
        <w:rPr>
          <w:highlight w:val="lightGray"/>
        </w:rPr>
        <w:t>IR Reports – IR MTDC Actual</w:t>
      </w:r>
      <w:r w:rsidR="00823473">
        <w:rPr>
          <w:highlight w:val="lightGray"/>
        </w:rPr>
        <w:t>s</w:t>
      </w:r>
      <w:r w:rsidRPr="004D2EEF">
        <w:rPr>
          <w:highlight w:val="lightGray"/>
        </w:rPr>
        <w:t xml:space="preserve"> Multi-</w:t>
      </w:r>
      <w:r w:rsidRPr="003A4409">
        <w:rPr>
          <w:highlight w:val="lightGray"/>
        </w:rPr>
        <w:t>Year Report</w:t>
      </w:r>
      <w:r w:rsidR="00D4760D" w:rsidRPr="003A4409">
        <w:rPr>
          <w:highlight w:val="lightGray"/>
        </w:rPr>
        <w:t xml:space="preserve"> *</w:t>
      </w:r>
    </w:p>
    <w:p w:rsidR="00E84895" w:rsidRDefault="00E84895" w:rsidP="00E84895">
      <w:r w:rsidRPr="003A4409">
        <w:rPr>
          <w:highlight w:val="lightGray"/>
        </w:rPr>
        <w:t>IR Reports – IR Forecast Analysis Report</w:t>
      </w:r>
      <w:r w:rsidR="00D4760D" w:rsidRPr="003A4409">
        <w:rPr>
          <w:highlight w:val="lightGray"/>
        </w:rPr>
        <w:t xml:space="preserve"> *</w:t>
      </w:r>
    </w:p>
    <w:p w:rsidR="00A36B91" w:rsidRPr="00737134" w:rsidRDefault="00E84895" w:rsidP="00A36B91">
      <w:pPr>
        <w:rPr>
          <w:rFonts w:cs="Arial"/>
          <w:b/>
          <w:bCs/>
          <w:color w:val="548DD4" w:themeColor="text2" w:themeTint="99"/>
          <w:szCs w:val="20"/>
        </w:rPr>
      </w:pPr>
      <w:r>
        <w:rPr>
          <w:b/>
        </w:rPr>
        <w:br/>
      </w:r>
      <w:r w:rsidR="00A36B91" w:rsidRPr="00737134">
        <w:rPr>
          <w:rFonts w:cs="Arial"/>
          <w:b/>
          <w:bCs/>
          <w:color w:val="548DD4" w:themeColor="text2" w:themeTint="99"/>
          <w:szCs w:val="20"/>
        </w:rPr>
        <w:t>The Cognos BI Reports include:</w:t>
      </w:r>
    </w:p>
    <w:p w:rsidR="00A36B91" w:rsidRPr="004D2EEF" w:rsidRDefault="00A36B91" w:rsidP="00A36B91">
      <w:pPr>
        <w:rPr>
          <w:highlight w:val="lightGray"/>
        </w:rPr>
      </w:pPr>
      <w:r w:rsidRPr="004D2EEF">
        <w:rPr>
          <w:highlight w:val="lightGray"/>
        </w:rPr>
        <w:t>IRM Report #1 - MTDC Expenditures by Month - Running Total</w:t>
      </w:r>
      <w:r w:rsidRPr="003A4409">
        <w:rPr>
          <w:highlight w:val="lightGray"/>
        </w:rPr>
        <w:t xml:space="preserve"> </w:t>
      </w:r>
      <w:r w:rsidR="00D4760D" w:rsidRPr="003A4409">
        <w:rPr>
          <w:highlight w:val="lightGray"/>
        </w:rPr>
        <w:t>*</w:t>
      </w:r>
    </w:p>
    <w:p w:rsidR="00A36B91" w:rsidRPr="004D2EEF" w:rsidRDefault="00A36B91" w:rsidP="00A36B91">
      <w:pPr>
        <w:rPr>
          <w:highlight w:val="lightGray"/>
        </w:rPr>
      </w:pPr>
      <w:r w:rsidRPr="004D2EEF">
        <w:rPr>
          <w:highlight w:val="lightGray"/>
        </w:rPr>
        <w:t>IRM Report #2 - MTDC Expenditure</w:t>
      </w:r>
      <w:r w:rsidR="00D4760D" w:rsidRPr="004D2EEF">
        <w:rPr>
          <w:highlight w:val="lightGray"/>
        </w:rPr>
        <w:t>s by Month - Monthly Increments</w:t>
      </w:r>
      <w:r w:rsidRPr="004D2EEF">
        <w:rPr>
          <w:highlight w:val="lightGray"/>
        </w:rPr>
        <w:t xml:space="preserve"> </w:t>
      </w:r>
      <w:r w:rsidR="00D4760D" w:rsidRPr="003A4409">
        <w:rPr>
          <w:highlight w:val="lightGray"/>
        </w:rPr>
        <w:t>*</w:t>
      </w:r>
    </w:p>
    <w:p w:rsidR="00A36B91" w:rsidRDefault="00A36B91" w:rsidP="00A36B91">
      <w:r w:rsidRPr="004D2EEF">
        <w:rPr>
          <w:highlight w:val="lightGray"/>
        </w:rPr>
        <w:t xml:space="preserve">IRM Report #3 - MTDC Total by Account- Including Interim Rate </w:t>
      </w:r>
      <w:r w:rsidRPr="003A4409">
        <w:rPr>
          <w:highlight w:val="lightGray"/>
        </w:rPr>
        <w:t xml:space="preserve">Impact </w:t>
      </w:r>
      <w:r w:rsidR="00D4760D" w:rsidRPr="003A4409">
        <w:rPr>
          <w:highlight w:val="lightGray"/>
        </w:rPr>
        <w:t>*</w:t>
      </w:r>
      <w:r>
        <w:t xml:space="preserve"> </w:t>
      </w:r>
    </w:p>
    <w:p w:rsidR="00A36B91" w:rsidRDefault="00A36B91" w:rsidP="00A36B91">
      <w:r>
        <w:t xml:space="preserve">IRM Report #4 - MTDC Total Entity and Rate Type – Including Interim Rate </w:t>
      </w:r>
      <w:r w:rsidR="00B92491">
        <w:t>Impact</w:t>
      </w:r>
    </w:p>
    <w:p w:rsidR="00A36B91" w:rsidRDefault="00A36B91" w:rsidP="00A36B91">
      <w:r>
        <w:t>IRM Report #5 - MTDC Total by Entity and Lab</w:t>
      </w:r>
      <w:r w:rsidR="00AC4720">
        <w:t xml:space="preserve"> </w:t>
      </w:r>
      <w:r>
        <w:t xml:space="preserve">– Including Interim </w:t>
      </w:r>
      <w:r w:rsidR="00B92491">
        <w:t>Rate Impact</w:t>
      </w:r>
    </w:p>
    <w:p w:rsidR="00A36B91" w:rsidRDefault="00A36B91" w:rsidP="00A36B91">
      <w:r>
        <w:t xml:space="preserve">IRM Report #6 - MTDC Total by Entity and Fund Source – Including Interim Rate Impact  </w:t>
      </w:r>
    </w:p>
    <w:p w:rsidR="00A36B91" w:rsidRDefault="00D82BFF" w:rsidP="00A36B91">
      <w:r w:rsidRPr="00D82BFF">
        <w:t>IRM Report #7</w:t>
      </w:r>
      <w:r w:rsidR="00A36B91">
        <w:t xml:space="preserve"> - MTDC Total by Entity and Normalized Fund Source – Including Interim Rate Impact  </w:t>
      </w:r>
    </w:p>
    <w:p w:rsidR="00A36B91" w:rsidRPr="004D2EEF" w:rsidRDefault="00A36B91" w:rsidP="00A36B91">
      <w:pPr>
        <w:rPr>
          <w:highlight w:val="lightGray"/>
        </w:rPr>
      </w:pPr>
      <w:r w:rsidRPr="004D2EEF">
        <w:rPr>
          <w:highlight w:val="lightGray"/>
        </w:rPr>
        <w:t xml:space="preserve">IRM Report #8 - Forecast Expense Report Summary by Expense Class Interim </w:t>
      </w:r>
      <w:r w:rsidRPr="003A4409">
        <w:rPr>
          <w:highlight w:val="lightGray"/>
        </w:rPr>
        <w:t xml:space="preserve">Planning Rates </w:t>
      </w:r>
      <w:r w:rsidR="005F14B1" w:rsidRPr="003A4409">
        <w:rPr>
          <w:highlight w:val="lightGray"/>
        </w:rPr>
        <w:t xml:space="preserve">* </w:t>
      </w:r>
      <w:r w:rsidRPr="003A4409">
        <w:rPr>
          <w:highlight w:val="lightGray"/>
        </w:rPr>
        <w:t xml:space="preserve"> </w:t>
      </w:r>
    </w:p>
    <w:p w:rsidR="00A36B91" w:rsidRDefault="00A36B91" w:rsidP="00A36B91">
      <w:r w:rsidRPr="004D2EEF">
        <w:rPr>
          <w:highlight w:val="lightGray"/>
        </w:rPr>
        <w:t xml:space="preserve">IRM Report #9 - Forecast Expense Report Summary by Account Interim Planning </w:t>
      </w:r>
      <w:r w:rsidRPr="003A4409">
        <w:rPr>
          <w:highlight w:val="lightGray"/>
        </w:rPr>
        <w:t>Rates</w:t>
      </w:r>
      <w:r w:rsidR="005F14B1" w:rsidRPr="003A4409">
        <w:rPr>
          <w:highlight w:val="lightGray"/>
        </w:rPr>
        <w:t xml:space="preserve"> *</w:t>
      </w:r>
      <w:r w:rsidR="005F14B1" w:rsidRPr="003A4409">
        <w:t xml:space="preserve"> </w:t>
      </w:r>
    </w:p>
    <w:p w:rsidR="00996F7A" w:rsidRDefault="00996F7A" w:rsidP="00A36B91"/>
    <w:p w:rsidR="00D4760D" w:rsidRPr="004D2EEF" w:rsidRDefault="004D2EEF" w:rsidP="00A36B91">
      <w:pPr>
        <w:pStyle w:val="steps"/>
        <w:numPr>
          <w:ilvl w:val="0"/>
          <w:numId w:val="0"/>
        </w:numPr>
        <w:rPr>
          <w:rFonts w:cs="Arial"/>
        </w:rPr>
      </w:pPr>
      <w:r w:rsidRPr="003A4409">
        <w:rPr>
          <w:highlight w:val="lightGray"/>
        </w:rPr>
        <w:t xml:space="preserve"> </w:t>
      </w:r>
      <w:r w:rsidR="00D4760D" w:rsidRPr="003A4409">
        <w:rPr>
          <w:highlight w:val="lightGray"/>
        </w:rPr>
        <w:t xml:space="preserve">* </w:t>
      </w:r>
      <w:r w:rsidRPr="004D2EEF">
        <w:rPr>
          <w:rFonts w:cs="Arial"/>
          <w:highlight w:val="lightGray"/>
        </w:rPr>
        <w:t>R</w:t>
      </w:r>
      <w:r w:rsidR="00D4760D" w:rsidRPr="004D2EEF">
        <w:rPr>
          <w:rFonts w:cs="Arial"/>
          <w:highlight w:val="lightGray"/>
        </w:rPr>
        <w:t xml:space="preserve">eports </w:t>
      </w:r>
      <w:r w:rsidR="005F14B1" w:rsidRPr="004D2EEF">
        <w:rPr>
          <w:rFonts w:cs="Arial"/>
          <w:highlight w:val="lightGray"/>
        </w:rPr>
        <w:t xml:space="preserve">may be </w:t>
      </w:r>
      <w:r w:rsidR="00D4760D" w:rsidRPr="004D2EEF">
        <w:rPr>
          <w:rFonts w:cs="Arial"/>
          <w:highlight w:val="lightGray"/>
        </w:rPr>
        <w:t>most usef</w:t>
      </w:r>
      <w:r w:rsidR="005F14B1" w:rsidRPr="004D2EEF">
        <w:rPr>
          <w:rFonts w:cs="Arial"/>
          <w:highlight w:val="lightGray"/>
        </w:rPr>
        <w:t>ul for Divisions and Programs:</w:t>
      </w:r>
    </w:p>
    <w:p w:rsidR="00D4760D" w:rsidRPr="00D4760D" w:rsidRDefault="00D4760D" w:rsidP="00A36B91">
      <w:pPr>
        <w:pStyle w:val="steps"/>
        <w:numPr>
          <w:ilvl w:val="0"/>
          <w:numId w:val="0"/>
        </w:numPr>
        <w:rPr>
          <w:b w:val="0"/>
          <w:bCs w:val="0"/>
          <w:szCs w:val="24"/>
        </w:rPr>
      </w:pPr>
      <w:r w:rsidRPr="00D4760D">
        <w:rPr>
          <w:b w:val="0"/>
          <w:bCs w:val="0"/>
          <w:szCs w:val="24"/>
        </w:rPr>
        <w:t xml:space="preserve">The two FAB / UI reports include information by account key with the ability </w:t>
      </w:r>
      <w:r w:rsidR="002A01F2" w:rsidRPr="00D4760D">
        <w:rPr>
          <w:b w:val="0"/>
          <w:bCs w:val="0"/>
          <w:szCs w:val="24"/>
        </w:rPr>
        <w:t>to</w:t>
      </w:r>
      <w:r w:rsidRPr="00D4760D">
        <w:rPr>
          <w:b w:val="0"/>
          <w:bCs w:val="0"/>
          <w:szCs w:val="24"/>
        </w:rPr>
        <w:t xml:space="preserve"> </w:t>
      </w:r>
      <w:r w:rsidR="005F14B1">
        <w:rPr>
          <w:b w:val="0"/>
          <w:bCs w:val="0"/>
          <w:szCs w:val="24"/>
        </w:rPr>
        <w:t xml:space="preserve">total, group, filter and sort all </w:t>
      </w:r>
      <w:r w:rsidR="00F65B67">
        <w:rPr>
          <w:b w:val="0"/>
          <w:bCs w:val="0"/>
          <w:szCs w:val="24"/>
        </w:rPr>
        <w:t>account</w:t>
      </w:r>
      <w:r w:rsidR="005F14B1">
        <w:rPr>
          <w:b w:val="0"/>
          <w:bCs w:val="0"/>
          <w:szCs w:val="24"/>
        </w:rPr>
        <w:t xml:space="preserve"> keys after creating a dimens</w:t>
      </w:r>
      <w:r w:rsidR="00F65B67">
        <w:rPr>
          <w:b w:val="0"/>
          <w:bCs w:val="0"/>
          <w:szCs w:val="24"/>
        </w:rPr>
        <w:t>ion filter for your Lab/</w:t>
      </w:r>
      <w:r w:rsidR="00F306B4">
        <w:rPr>
          <w:b w:val="0"/>
          <w:bCs w:val="0"/>
          <w:szCs w:val="24"/>
        </w:rPr>
        <w:t>Div/</w:t>
      </w:r>
      <w:r w:rsidR="005F14B1">
        <w:rPr>
          <w:b w:val="0"/>
          <w:bCs w:val="0"/>
          <w:szCs w:val="24"/>
        </w:rPr>
        <w:t>Prog.</w:t>
      </w:r>
    </w:p>
    <w:p w:rsidR="00996F7A" w:rsidRDefault="00D4760D" w:rsidP="00A36B91">
      <w:pPr>
        <w:pStyle w:val="steps"/>
        <w:numPr>
          <w:ilvl w:val="0"/>
          <w:numId w:val="0"/>
        </w:numPr>
        <w:rPr>
          <w:b w:val="0"/>
          <w:bCs w:val="0"/>
          <w:szCs w:val="24"/>
        </w:rPr>
      </w:pPr>
      <w:r w:rsidRPr="00D4760D">
        <w:rPr>
          <w:b w:val="0"/>
          <w:bCs w:val="0"/>
          <w:szCs w:val="24"/>
        </w:rPr>
        <w:t>The first t</w:t>
      </w:r>
      <w:r w:rsidR="00F65B67">
        <w:rPr>
          <w:b w:val="0"/>
          <w:bCs w:val="0"/>
          <w:szCs w:val="24"/>
        </w:rPr>
        <w:t xml:space="preserve">hree Cognos BI reports are </w:t>
      </w:r>
      <w:r w:rsidRPr="00D4760D">
        <w:rPr>
          <w:b w:val="0"/>
          <w:bCs w:val="0"/>
          <w:szCs w:val="24"/>
        </w:rPr>
        <w:t>by account key with the ability to further narrow dow</w:t>
      </w:r>
      <w:bookmarkStart w:id="0" w:name="_GoBack"/>
      <w:bookmarkEnd w:id="0"/>
      <w:r w:rsidRPr="00D4760D">
        <w:rPr>
          <w:b w:val="0"/>
          <w:bCs w:val="0"/>
          <w:szCs w:val="24"/>
        </w:rPr>
        <w:t xml:space="preserve">n information by contract, fund </w:t>
      </w:r>
      <w:r>
        <w:rPr>
          <w:b w:val="0"/>
          <w:bCs w:val="0"/>
          <w:szCs w:val="24"/>
        </w:rPr>
        <w:t xml:space="preserve">source, rate type, subfacility, </w:t>
      </w:r>
      <w:r w:rsidR="005F14B1">
        <w:rPr>
          <w:b w:val="0"/>
          <w:bCs w:val="0"/>
          <w:szCs w:val="24"/>
        </w:rPr>
        <w:t>facility and division code.</w:t>
      </w:r>
    </w:p>
    <w:p w:rsidR="00556651" w:rsidRDefault="005F14B1" w:rsidP="00A36B91">
      <w:pPr>
        <w:pStyle w:val="steps"/>
        <w:numPr>
          <w:ilvl w:val="0"/>
          <w:numId w:val="0"/>
        </w:numPr>
        <w:rPr>
          <w:b w:val="0"/>
          <w:bCs w:val="0"/>
          <w:szCs w:val="24"/>
        </w:rPr>
      </w:pPr>
      <w:r>
        <w:rPr>
          <w:b w:val="0"/>
          <w:bCs w:val="0"/>
          <w:szCs w:val="24"/>
        </w:rPr>
        <w:t>The last two Cognos BI reports</w:t>
      </w:r>
      <w:r w:rsidR="00F65B67">
        <w:rPr>
          <w:b w:val="0"/>
          <w:bCs w:val="0"/>
          <w:szCs w:val="24"/>
        </w:rPr>
        <w:t xml:space="preserve"> show </w:t>
      </w:r>
      <w:r w:rsidRPr="005F14B1">
        <w:rPr>
          <w:b w:val="0"/>
          <w:bCs w:val="0"/>
          <w:szCs w:val="24"/>
        </w:rPr>
        <w:t>how changes in interim rates might impact accounts</w:t>
      </w:r>
      <w:r>
        <w:rPr>
          <w:b w:val="0"/>
          <w:bCs w:val="0"/>
          <w:szCs w:val="24"/>
        </w:rPr>
        <w:t>, both at the a</w:t>
      </w:r>
      <w:r w:rsidR="00F65B67">
        <w:rPr>
          <w:b w:val="0"/>
          <w:bCs w:val="0"/>
          <w:szCs w:val="24"/>
        </w:rPr>
        <w:t>ccount level (report #9) and</w:t>
      </w:r>
      <w:r>
        <w:rPr>
          <w:b w:val="0"/>
          <w:bCs w:val="0"/>
          <w:szCs w:val="24"/>
        </w:rPr>
        <w:t xml:space="preserve"> expense class level (Report #8)</w:t>
      </w:r>
      <w:r w:rsidRPr="005F14B1">
        <w:rPr>
          <w:b w:val="0"/>
          <w:bCs w:val="0"/>
          <w:szCs w:val="24"/>
        </w:rPr>
        <w:t xml:space="preserve">  </w:t>
      </w:r>
    </w:p>
    <w:p w:rsidR="002956CD" w:rsidRPr="00D4760D" w:rsidRDefault="002956CD" w:rsidP="00A36B91">
      <w:pPr>
        <w:pStyle w:val="steps"/>
        <w:numPr>
          <w:ilvl w:val="0"/>
          <w:numId w:val="0"/>
        </w:numPr>
        <w:rPr>
          <w:b w:val="0"/>
          <w:bCs w:val="0"/>
          <w:szCs w:val="24"/>
        </w:rPr>
      </w:pPr>
    </w:p>
    <w:p w:rsidR="00A20D9E" w:rsidRDefault="00556651" w:rsidP="00A20D9E">
      <w:pPr>
        <w:spacing w:line="276" w:lineRule="auto"/>
        <w:rPr>
          <w:rFonts w:cs="Arial"/>
          <w:b/>
          <w:bCs/>
          <w:color w:val="548DD4" w:themeColor="text2" w:themeTint="99"/>
          <w:szCs w:val="20"/>
        </w:rPr>
      </w:pPr>
      <w:r w:rsidRPr="00556651">
        <w:rPr>
          <w:rFonts w:cs="Arial"/>
          <w:b/>
          <w:bCs/>
          <w:color w:val="548DD4" w:themeColor="text2" w:themeTint="99"/>
          <w:szCs w:val="20"/>
        </w:rPr>
        <w:t>Terminology</w:t>
      </w:r>
      <w:r w:rsidR="00677BD2">
        <w:rPr>
          <w:rFonts w:cs="Arial"/>
          <w:b/>
          <w:bCs/>
          <w:color w:val="548DD4" w:themeColor="text2" w:themeTint="99"/>
          <w:szCs w:val="20"/>
        </w:rPr>
        <w:t xml:space="preserve"> / Definitions</w:t>
      </w:r>
    </w:p>
    <w:tbl>
      <w:tblPr>
        <w:tblW w:w="9792" w:type="dxa"/>
        <w:tblInd w:w="93"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9792"/>
      </w:tblGrid>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IFAS Budget Current</w:t>
            </w:r>
            <w:r w:rsidRPr="00A20D9E">
              <w:rPr>
                <w:rFonts w:ascii="Calibri" w:hAnsi="Calibri" w:cs="Calibri"/>
                <w:color w:val="000000"/>
                <w:sz w:val="22"/>
                <w:szCs w:val="22"/>
              </w:rPr>
              <w:t xml:space="preserve"> - Uncommitted + Committed Carryover + New Funds + Transfers</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Incurred Actual EOM YTD</w:t>
            </w:r>
            <w:r w:rsidRPr="00A20D9E">
              <w:rPr>
                <w:rFonts w:ascii="Calibri" w:hAnsi="Calibri" w:cs="Calibri"/>
                <w:color w:val="000000"/>
                <w:sz w:val="22"/>
                <w:szCs w:val="22"/>
              </w:rPr>
              <w:t xml:space="preserve"> - Incurred Actual Expenses YTD as of Latest End of Month</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IR Incurred Actual EOM YTD</w:t>
            </w:r>
            <w:r w:rsidRPr="00A20D9E">
              <w:rPr>
                <w:rFonts w:ascii="Calibri" w:hAnsi="Calibri" w:cs="Calibri"/>
                <w:color w:val="000000"/>
                <w:sz w:val="22"/>
                <w:szCs w:val="22"/>
              </w:rPr>
              <w:t xml:space="preserve"> - Incurred Actual Expenses YTD at Interim Rate as of Latest End of Month</w:t>
            </w:r>
          </w:p>
        </w:tc>
      </w:tr>
      <w:tr w:rsidR="00A20D9E" w:rsidRPr="00A20D9E" w:rsidTr="00173384">
        <w:trPr>
          <w:trHeight w:val="288"/>
        </w:trPr>
        <w:tc>
          <w:tcPr>
            <w:tcW w:w="9390" w:type="dxa"/>
            <w:shd w:val="clear" w:color="auto" w:fill="auto"/>
            <w:noWrap/>
            <w:vAlign w:val="bottom"/>
            <w:hideMark/>
          </w:tcPr>
          <w:p w:rsidR="00A20D9E" w:rsidRPr="00A20D9E" w:rsidRDefault="00A20D9E" w:rsidP="00677BD2">
            <w:pPr>
              <w:rPr>
                <w:rFonts w:ascii="Calibri" w:hAnsi="Calibri" w:cs="Calibri"/>
                <w:color w:val="000000"/>
                <w:sz w:val="22"/>
                <w:szCs w:val="22"/>
              </w:rPr>
            </w:pPr>
            <w:r w:rsidRPr="00677BD2">
              <w:rPr>
                <w:rFonts w:ascii="Calibri" w:hAnsi="Calibri" w:cs="Calibri"/>
                <w:b/>
                <w:color w:val="000000"/>
                <w:sz w:val="22"/>
                <w:szCs w:val="22"/>
              </w:rPr>
              <w:t>Working Plan</w:t>
            </w:r>
            <w:r w:rsidRPr="00A20D9E">
              <w:rPr>
                <w:rFonts w:ascii="Calibri" w:hAnsi="Calibri" w:cs="Calibri"/>
                <w:color w:val="000000"/>
                <w:sz w:val="22"/>
                <w:szCs w:val="22"/>
              </w:rPr>
              <w:t xml:space="preserve"> - A centralized, calculated scenario for plannin</w:t>
            </w:r>
            <w:r w:rsidR="00677BD2">
              <w:rPr>
                <w:rFonts w:ascii="Calibri" w:hAnsi="Calibri" w:cs="Calibri"/>
                <w:color w:val="000000"/>
                <w:sz w:val="22"/>
                <w:szCs w:val="22"/>
              </w:rPr>
              <w:t>g staff and non-salary expenses</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Working Plan Remaining</w:t>
            </w:r>
            <w:r w:rsidR="00677BD2">
              <w:rPr>
                <w:rFonts w:ascii="Calibri" w:hAnsi="Calibri" w:cs="Calibri"/>
                <w:color w:val="000000"/>
                <w:sz w:val="22"/>
                <w:szCs w:val="22"/>
              </w:rPr>
              <w:t xml:space="preserve"> - Working Plan from</w:t>
            </w:r>
            <w:r w:rsidRPr="00A20D9E">
              <w:rPr>
                <w:rFonts w:ascii="Calibri" w:hAnsi="Calibri" w:cs="Calibri"/>
                <w:color w:val="000000"/>
                <w:sz w:val="22"/>
                <w:szCs w:val="22"/>
              </w:rPr>
              <w:t xml:space="preserve"> latest End of Month forward</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Forecast</w:t>
            </w:r>
            <w:r w:rsidRPr="00A20D9E">
              <w:rPr>
                <w:rFonts w:ascii="Calibri" w:hAnsi="Calibri" w:cs="Calibri"/>
                <w:color w:val="000000"/>
                <w:sz w:val="22"/>
                <w:szCs w:val="22"/>
              </w:rPr>
              <w:t xml:space="preserve"> - Incurred Actual Expenses YTD as of Latest End of Month + Working Plan Remaining </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IR Working Plan</w:t>
            </w:r>
            <w:r w:rsidRPr="00A20D9E">
              <w:rPr>
                <w:rFonts w:ascii="Calibri" w:hAnsi="Calibri" w:cs="Calibri"/>
                <w:color w:val="000000"/>
                <w:sz w:val="22"/>
                <w:szCs w:val="22"/>
              </w:rPr>
              <w:t xml:space="preserve"> - Working Plan with Interim Rates Applied</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IR Working Plan Remaining</w:t>
            </w:r>
            <w:r w:rsidRPr="00A20D9E">
              <w:rPr>
                <w:rFonts w:ascii="Calibri" w:hAnsi="Calibri" w:cs="Calibri"/>
                <w:color w:val="000000"/>
                <w:sz w:val="22"/>
                <w:szCs w:val="22"/>
              </w:rPr>
              <w:t xml:space="preserve"> - W</w:t>
            </w:r>
            <w:r w:rsidR="00E700CB">
              <w:rPr>
                <w:rFonts w:ascii="Calibri" w:hAnsi="Calibri" w:cs="Calibri"/>
                <w:color w:val="000000"/>
                <w:sz w:val="22"/>
                <w:szCs w:val="22"/>
              </w:rPr>
              <w:t>orking Plan with Interim Rates A</w:t>
            </w:r>
            <w:r w:rsidR="00677BD2">
              <w:rPr>
                <w:rFonts w:ascii="Calibri" w:hAnsi="Calibri" w:cs="Calibri"/>
                <w:color w:val="000000"/>
                <w:sz w:val="22"/>
                <w:szCs w:val="22"/>
              </w:rPr>
              <w:t>pplied from</w:t>
            </w:r>
            <w:r w:rsidRPr="00A20D9E">
              <w:rPr>
                <w:rFonts w:ascii="Calibri" w:hAnsi="Calibri" w:cs="Calibri"/>
                <w:color w:val="000000"/>
                <w:sz w:val="22"/>
                <w:szCs w:val="22"/>
              </w:rPr>
              <w:t xml:space="preserve"> latest End of Month forward</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IR Forecast</w:t>
            </w:r>
            <w:r w:rsidRPr="00A20D9E">
              <w:rPr>
                <w:rFonts w:ascii="Calibri" w:hAnsi="Calibri" w:cs="Calibri"/>
                <w:color w:val="000000"/>
                <w:sz w:val="22"/>
                <w:szCs w:val="22"/>
              </w:rPr>
              <w:t xml:space="preserve"> - Forecast at Interim Rate  (IR Incurred Actual Expenses EOM YTD + IR Working Plan Remaining) </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Expected Funds</w:t>
            </w:r>
            <w:r w:rsidR="00E700CB">
              <w:rPr>
                <w:rFonts w:ascii="Calibri" w:hAnsi="Calibri" w:cs="Calibri"/>
                <w:color w:val="000000"/>
                <w:sz w:val="22"/>
                <w:szCs w:val="22"/>
              </w:rPr>
              <w:t xml:space="preserve"> - Expected F</w:t>
            </w:r>
            <w:r w:rsidRPr="00A20D9E">
              <w:rPr>
                <w:rFonts w:ascii="Calibri" w:hAnsi="Calibri" w:cs="Calibri"/>
                <w:color w:val="000000"/>
                <w:sz w:val="22"/>
                <w:szCs w:val="22"/>
              </w:rPr>
              <w:t>unding not yet at UCAR</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IFAS Budget vs IR Forecast</w:t>
            </w:r>
            <w:r w:rsidRPr="00A20D9E">
              <w:rPr>
                <w:rFonts w:ascii="Calibri" w:hAnsi="Calibri" w:cs="Calibri"/>
                <w:color w:val="000000"/>
                <w:sz w:val="22"/>
                <w:szCs w:val="22"/>
              </w:rPr>
              <w:t xml:space="preserve"> - Differ</w:t>
            </w:r>
            <w:r w:rsidR="00677BD2">
              <w:rPr>
                <w:rFonts w:ascii="Calibri" w:hAnsi="Calibri" w:cs="Calibri"/>
                <w:color w:val="000000"/>
                <w:sz w:val="22"/>
                <w:szCs w:val="22"/>
              </w:rPr>
              <w:t xml:space="preserve">ence between IFAS Budget and </w:t>
            </w:r>
            <w:r w:rsidRPr="00A20D9E">
              <w:rPr>
                <w:rFonts w:ascii="Calibri" w:hAnsi="Calibri" w:cs="Calibri"/>
                <w:color w:val="000000"/>
                <w:sz w:val="22"/>
                <w:szCs w:val="22"/>
              </w:rPr>
              <w:t xml:space="preserve"> IR Forecast (IR Forecast Funds Available)</w:t>
            </w:r>
          </w:p>
        </w:tc>
      </w:tr>
      <w:tr w:rsidR="00A20D9E" w:rsidRPr="00A20D9E" w:rsidTr="00173384">
        <w:trPr>
          <w:trHeight w:val="288"/>
        </w:trPr>
        <w:tc>
          <w:tcPr>
            <w:tcW w:w="9390" w:type="dxa"/>
            <w:shd w:val="clear" w:color="auto" w:fill="auto"/>
            <w:noWrap/>
            <w:vAlign w:val="bottom"/>
            <w:hideMark/>
          </w:tcPr>
          <w:p w:rsidR="00A20D9E" w:rsidRPr="00A20D9E" w:rsidRDefault="00A20D9E" w:rsidP="00A20D9E">
            <w:pPr>
              <w:rPr>
                <w:rFonts w:ascii="Calibri" w:hAnsi="Calibri" w:cs="Calibri"/>
                <w:color w:val="000000"/>
                <w:sz w:val="22"/>
                <w:szCs w:val="22"/>
              </w:rPr>
            </w:pPr>
            <w:r w:rsidRPr="00677BD2">
              <w:rPr>
                <w:rFonts w:ascii="Calibri" w:hAnsi="Calibri" w:cs="Calibri"/>
                <w:b/>
                <w:color w:val="000000"/>
                <w:sz w:val="22"/>
                <w:szCs w:val="22"/>
              </w:rPr>
              <w:t>IR Forecast vs Working Plan</w:t>
            </w:r>
            <w:r w:rsidRPr="00A20D9E">
              <w:rPr>
                <w:rFonts w:ascii="Calibri" w:hAnsi="Calibri" w:cs="Calibri"/>
                <w:color w:val="000000"/>
                <w:sz w:val="22"/>
                <w:szCs w:val="22"/>
              </w:rPr>
              <w:t xml:space="preserve"> - Difference Between IR Forecast and Working Plan</w:t>
            </w:r>
          </w:p>
        </w:tc>
      </w:tr>
    </w:tbl>
    <w:p w:rsidR="00173384" w:rsidRDefault="00173384" w:rsidP="00E84895">
      <w:pPr>
        <w:rPr>
          <w:b/>
          <w:bCs/>
          <w:iCs/>
          <w:color w:val="548DD4" w:themeColor="text2" w:themeTint="99"/>
          <w:sz w:val="24"/>
          <w:szCs w:val="28"/>
        </w:rPr>
      </w:pPr>
    </w:p>
    <w:p w:rsidR="00293804" w:rsidRDefault="00293804">
      <w:pPr>
        <w:spacing w:after="200" w:line="276" w:lineRule="auto"/>
        <w:rPr>
          <w:b/>
          <w:bCs/>
          <w:iCs/>
          <w:color w:val="548DD4" w:themeColor="text2" w:themeTint="99"/>
          <w:sz w:val="24"/>
          <w:szCs w:val="28"/>
        </w:rPr>
      </w:pPr>
      <w:r>
        <w:rPr>
          <w:b/>
          <w:bCs/>
          <w:iCs/>
          <w:color w:val="548DD4" w:themeColor="text2" w:themeTint="99"/>
          <w:sz w:val="24"/>
          <w:szCs w:val="28"/>
        </w:rPr>
        <w:br w:type="page"/>
      </w:r>
    </w:p>
    <w:p w:rsidR="00E84895" w:rsidRDefault="00E84895" w:rsidP="00E84895">
      <w:pPr>
        <w:rPr>
          <w:b/>
          <w:bCs/>
          <w:iCs/>
          <w:color w:val="548DD4" w:themeColor="text2" w:themeTint="99"/>
          <w:sz w:val="24"/>
          <w:szCs w:val="28"/>
        </w:rPr>
      </w:pPr>
      <w:r>
        <w:rPr>
          <w:b/>
          <w:bCs/>
          <w:iCs/>
          <w:color w:val="548DD4" w:themeColor="text2" w:themeTint="99"/>
          <w:sz w:val="24"/>
          <w:szCs w:val="28"/>
        </w:rPr>
        <w:lastRenderedPageBreak/>
        <w:t xml:space="preserve">FAB / UI Date Entry - </w:t>
      </w:r>
      <w:r w:rsidRPr="00984CD3">
        <w:rPr>
          <w:b/>
          <w:bCs/>
          <w:iCs/>
          <w:color w:val="548DD4" w:themeColor="text2" w:themeTint="99"/>
          <w:sz w:val="24"/>
          <w:szCs w:val="28"/>
        </w:rPr>
        <w:t>Reports in the IR Projections Application</w:t>
      </w:r>
    </w:p>
    <w:p w:rsidR="00E84895" w:rsidRDefault="00E84895" w:rsidP="00E84895">
      <w:pPr>
        <w:rPr>
          <w:rFonts w:cs="Arial"/>
          <w:b/>
          <w:bCs/>
          <w:color w:val="548DD4" w:themeColor="text2" w:themeTint="99"/>
        </w:rPr>
      </w:pPr>
      <w:r w:rsidRPr="00996F7A">
        <w:rPr>
          <w:rFonts w:cs="Arial"/>
          <w:b/>
          <w:bCs/>
          <w:color w:val="548DD4" w:themeColor="text2" w:themeTint="99"/>
        </w:rPr>
        <w:t xml:space="preserve">FAB / UI </w:t>
      </w:r>
      <w:r>
        <w:rPr>
          <w:rFonts w:cs="Arial"/>
          <w:b/>
          <w:bCs/>
          <w:color w:val="548DD4" w:themeColor="text2" w:themeTint="99"/>
        </w:rPr>
        <w:t>PRODUCTION</w:t>
      </w:r>
      <w:r w:rsidRPr="00996F7A">
        <w:rPr>
          <w:rFonts w:cs="Arial"/>
          <w:b/>
          <w:bCs/>
          <w:color w:val="548DD4" w:themeColor="text2" w:themeTint="99"/>
        </w:rPr>
        <w:t xml:space="preserve"> URL</w:t>
      </w:r>
      <w:r>
        <w:rPr>
          <w:rFonts w:cs="Arial"/>
          <w:b/>
          <w:bCs/>
          <w:color w:val="548DD4" w:themeColor="text2" w:themeTint="99"/>
        </w:rPr>
        <w:t xml:space="preserve">: </w:t>
      </w:r>
      <w:r w:rsidRPr="00996F7A">
        <w:rPr>
          <w:rFonts w:cs="Arial"/>
          <w:b/>
          <w:bCs/>
          <w:color w:val="548DD4" w:themeColor="text2" w:themeTint="99"/>
        </w:rPr>
        <w:t xml:space="preserve"> </w:t>
      </w:r>
      <w:hyperlink r:id="rId9" w:history="1">
        <w:r w:rsidRPr="00444FF6">
          <w:rPr>
            <w:rStyle w:val="Hyperlink"/>
            <w:rFonts w:cs="Arial"/>
            <w:b/>
            <w:bCs/>
          </w:rPr>
          <w:t>https://fatahoe.fanda.ucar.edu/fab/fab.aspx</w:t>
        </w:r>
      </w:hyperlink>
    </w:p>
    <w:p w:rsidR="00E84895" w:rsidRPr="00996F7A" w:rsidRDefault="00E84895" w:rsidP="00E84895">
      <w:pPr>
        <w:rPr>
          <w:rFonts w:cs="Arial"/>
          <w:b/>
          <w:bCs/>
          <w:color w:val="548DD4" w:themeColor="text2" w:themeTint="99"/>
        </w:rPr>
      </w:pPr>
    </w:p>
    <w:p w:rsidR="00E84895" w:rsidRPr="007D6FF0" w:rsidRDefault="00E84895" w:rsidP="00E84895">
      <w:pPr>
        <w:pStyle w:val="steps"/>
        <w:numPr>
          <w:ilvl w:val="0"/>
          <w:numId w:val="0"/>
        </w:numPr>
        <w:spacing w:before="0" w:after="0"/>
        <w:rPr>
          <w:noProof/>
        </w:rPr>
      </w:pPr>
      <w:r w:rsidRPr="007D6FF0">
        <w:rPr>
          <w:noProof/>
        </w:rPr>
        <w:t xml:space="preserve">The </w:t>
      </w:r>
      <w:r w:rsidR="00293804" w:rsidRPr="007D6FF0">
        <w:rPr>
          <w:noProof/>
        </w:rPr>
        <w:t xml:space="preserve">FAB / UI </w:t>
      </w:r>
      <w:r w:rsidRPr="007D6FF0">
        <w:rPr>
          <w:noProof/>
        </w:rPr>
        <w:t xml:space="preserve">reports are under the </w:t>
      </w:r>
      <w:r w:rsidR="00293804" w:rsidRPr="007D6FF0">
        <w:rPr>
          <w:noProof/>
        </w:rPr>
        <w:t xml:space="preserve">“IR </w:t>
      </w:r>
      <w:r w:rsidRPr="007D6FF0">
        <w:rPr>
          <w:noProof/>
        </w:rPr>
        <w:t>Reports</w:t>
      </w:r>
      <w:r w:rsidR="00293804" w:rsidRPr="007D6FF0">
        <w:rPr>
          <w:noProof/>
        </w:rPr>
        <w:t>”</w:t>
      </w:r>
      <w:r w:rsidRPr="007D6FF0">
        <w:rPr>
          <w:noProof/>
        </w:rPr>
        <w:t xml:space="preserve"> tab in IR Projections FAB</w:t>
      </w:r>
      <w:r w:rsidR="00293804" w:rsidRPr="007D6FF0">
        <w:rPr>
          <w:noProof/>
        </w:rPr>
        <w:t xml:space="preserve"> </w:t>
      </w:r>
      <w:r w:rsidRPr="007D6FF0">
        <w:rPr>
          <w:noProof/>
        </w:rPr>
        <w:t>/</w:t>
      </w:r>
      <w:r w:rsidR="00293804" w:rsidRPr="007D6FF0">
        <w:rPr>
          <w:noProof/>
        </w:rPr>
        <w:t xml:space="preserve"> </w:t>
      </w:r>
      <w:r w:rsidRPr="007D6FF0">
        <w:rPr>
          <w:noProof/>
        </w:rPr>
        <w:t>UI Application:</w:t>
      </w:r>
    </w:p>
    <w:p w:rsidR="00E84895" w:rsidRPr="00293804" w:rsidRDefault="00E84895" w:rsidP="00E84895">
      <w:pPr>
        <w:pStyle w:val="steps"/>
        <w:numPr>
          <w:ilvl w:val="0"/>
          <w:numId w:val="0"/>
        </w:numPr>
        <w:spacing w:before="0" w:after="0"/>
        <w:rPr>
          <w:b w:val="0"/>
          <w:i/>
          <w:noProof/>
        </w:rPr>
      </w:pPr>
      <w:r w:rsidRPr="00293804">
        <w:rPr>
          <w:b w:val="0"/>
          <w:i/>
          <w:noProof/>
        </w:rPr>
        <w:t>(Recall IR Projections is accessed from the Application tab.)</w:t>
      </w:r>
    </w:p>
    <w:p w:rsidR="00E84895" w:rsidRDefault="00E84895" w:rsidP="00E84895">
      <w:pPr>
        <w:pStyle w:val="steps"/>
        <w:numPr>
          <w:ilvl w:val="0"/>
          <w:numId w:val="0"/>
        </w:numPr>
        <w:rPr>
          <w:rFonts w:cs="Arial"/>
          <w:color w:val="548DD4" w:themeColor="text2" w:themeTint="99"/>
        </w:rPr>
      </w:pPr>
      <w:r>
        <w:rPr>
          <w:noProof/>
        </w:rPr>
        <w:drawing>
          <wp:inline distT="0" distB="0" distL="0" distR="0" wp14:anchorId="023D1CA3" wp14:editId="7D8057C7">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00150"/>
                    </a:xfrm>
                    <a:prstGeom prst="rect">
                      <a:avLst/>
                    </a:prstGeom>
                  </pic:spPr>
                </pic:pic>
              </a:graphicData>
            </a:graphic>
          </wp:inline>
        </w:drawing>
      </w:r>
    </w:p>
    <w:p w:rsidR="00E84895" w:rsidRDefault="00E84895" w:rsidP="00E84895">
      <w:pPr>
        <w:pStyle w:val="steps"/>
        <w:numPr>
          <w:ilvl w:val="0"/>
          <w:numId w:val="0"/>
        </w:numPr>
        <w:rPr>
          <w:rFonts w:cs="Arial"/>
          <w:color w:val="548DD4" w:themeColor="text2" w:themeTint="99"/>
        </w:rPr>
      </w:pPr>
    </w:p>
    <w:p w:rsidR="00DB09E5" w:rsidRPr="003528EA" w:rsidRDefault="00DB09E5" w:rsidP="00DB09E5">
      <w:pPr>
        <w:rPr>
          <w:rFonts w:cs="Arial"/>
          <w:b/>
          <w:bCs/>
          <w:color w:val="548DD4" w:themeColor="text2" w:themeTint="99"/>
          <w:u w:val="single"/>
        </w:rPr>
      </w:pPr>
      <w:r w:rsidRPr="003528EA">
        <w:rPr>
          <w:rFonts w:cs="Arial"/>
          <w:b/>
          <w:bCs/>
          <w:color w:val="548DD4" w:themeColor="text2" w:themeTint="99"/>
          <w:u w:val="single"/>
        </w:rPr>
        <w:t>FAB / UI IR Reports – IR MTDC Actual</w:t>
      </w:r>
      <w:r w:rsidR="00823473" w:rsidRPr="003528EA">
        <w:rPr>
          <w:rFonts w:cs="Arial"/>
          <w:b/>
          <w:bCs/>
          <w:color w:val="548DD4" w:themeColor="text2" w:themeTint="99"/>
          <w:u w:val="single"/>
        </w:rPr>
        <w:t>s</w:t>
      </w:r>
      <w:r w:rsidRPr="003528EA">
        <w:rPr>
          <w:rFonts w:cs="Arial"/>
          <w:b/>
          <w:bCs/>
          <w:color w:val="548DD4" w:themeColor="text2" w:themeTint="99"/>
          <w:u w:val="single"/>
        </w:rPr>
        <w:t xml:space="preserve"> Multi-Year Report</w:t>
      </w:r>
    </w:p>
    <w:p w:rsidR="0063175D" w:rsidRDefault="0063175D" w:rsidP="00DB09E5">
      <w:pPr>
        <w:rPr>
          <w:bCs/>
          <w:noProof/>
          <w:szCs w:val="20"/>
        </w:rPr>
      </w:pPr>
    </w:p>
    <w:p w:rsidR="00F306B4" w:rsidRDefault="00DB09E5" w:rsidP="00DB09E5">
      <w:pPr>
        <w:rPr>
          <w:bCs/>
          <w:noProof/>
          <w:szCs w:val="20"/>
        </w:rPr>
      </w:pPr>
      <w:r w:rsidRPr="007D6FF0">
        <w:rPr>
          <w:b/>
          <w:bCs/>
          <w:noProof/>
          <w:szCs w:val="20"/>
        </w:rPr>
        <w:t>This report provi</w:t>
      </w:r>
      <w:r w:rsidR="00E5312D" w:rsidRPr="007D6FF0">
        <w:rPr>
          <w:b/>
          <w:bCs/>
          <w:noProof/>
          <w:szCs w:val="20"/>
        </w:rPr>
        <w:t>des a historical look at MTDC</w:t>
      </w:r>
      <w:r w:rsidR="00B119D9" w:rsidRPr="007D6FF0">
        <w:rPr>
          <w:b/>
          <w:bCs/>
          <w:noProof/>
          <w:szCs w:val="20"/>
        </w:rPr>
        <w:t xml:space="preserve"> by account key</w:t>
      </w:r>
      <w:r w:rsidR="001B5155" w:rsidRPr="007D6FF0">
        <w:rPr>
          <w:b/>
          <w:bCs/>
          <w:noProof/>
          <w:szCs w:val="20"/>
        </w:rPr>
        <w:t>.</w:t>
      </w:r>
      <w:r w:rsidR="00B119D9" w:rsidRPr="007D6FF0">
        <w:rPr>
          <w:b/>
          <w:bCs/>
          <w:noProof/>
          <w:szCs w:val="20"/>
        </w:rPr>
        <w:t xml:space="preserve"> </w:t>
      </w:r>
      <w:r w:rsidR="00B119D9">
        <w:rPr>
          <w:bCs/>
          <w:noProof/>
          <w:szCs w:val="20"/>
        </w:rPr>
        <w:t xml:space="preserve"> It’s</w:t>
      </w:r>
      <w:r w:rsidR="00E5312D">
        <w:rPr>
          <w:bCs/>
          <w:noProof/>
          <w:szCs w:val="20"/>
        </w:rPr>
        <w:t xml:space="preserve"> </w:t>
      </w:r>
      <w:r w:rsidR="001B5155">
        <w:rPr>
          <w:bCs/>
          <w:noProof/>
          <w:szCs w:val="20"/>
        </w:rPr>
        <w:t>a “resaonableness” check</w:t>
      </w:r>
      <w:r w:rsidR="00E5312D">
        <w:rPr>
          <w:bCs/>
          <w:noProof/>
          <w:szCs w:val="20"/>
        </w:rPr>
        <w:t xml:space="preserve"> that allows</w:t>
      </w:r>
      <w:r w:rsidR="00E16501" w:rsidRPr="00E16501">
        <w:rPr>
          <w:bCs/>
          <w:noProof/>
          <w:szCs w:val="20"/>
        </w:rPr>
        <w:t xml:space="preserve"> the user to make comparisons of projections </w:t>
      </w:r>
      <w:r w:rsidR="00E5312D">
        <w:rPr>
          <w:bCs/>
          <w:noProof/>
          <w:szCs w:val="20"/>
        </w:rPr>
        <w:t xml:space="preserve">for the current year </w:t>
      </w:r>
      <w:r w:rsidR="00A64630">
        <w:rPr>
          <w:bCs/>
          <w:noProof/>
          <w:szCs w:val="20"/>
        </w:rPr>
        <w:t>to past years</w:t>
      </w:r>
      <w:r w:rsidR="00E5312D">
        <w:rPr>
          <w:bCs/>
          <w:noProof/>
          <w:szCs w:val="20"/>
        </w:rPr>
        <w:t xml:space="preserve">, taking into account differences and similarities of events in previous and the current years.  </w:t>
      </w:r>
    </w:p>
    <w:p w:rsidR="00F306B4" w:rsidRDefault="00F306B4" w:rsidP="00DB09E5">
      <w:pPr>
        <w:rPr>
          <w:bCs/>
          <w:noProof/>
          <w:szCs w:val="20"/>
        </w:rPr>
      </w:pPr>
    </w:p>
    <w:p w:rsidR="00DB09E5" w:rsidRPr="00F306B4" w:rsidRDefault="00F306B4" w:rsidP="00DB09E5">
      <w:pPr>
        <w:rPr>
          <w:bCs/>
          <w:noProof/>
          <w:szCs w:val="20"/>
        </w:rPr>
      </w:pPr>
      <w:r>
        <w:rPr>
          <w:bCs/>
          <w:noProof/>
          <w:szCs w:val="20"/>
        </w:rPr>
        <w:t xml:space="preserve">Within the UI, you have the </w:t>
      </w:r>
      <w:r w:rsidRPr="00F306B4">
        <w:rPr>
          <w:bCs/>
        </w:rPr>
        <w:t xml:space="preserve">ability to </w:t>
      </w:r>
      <w:r>
        <w:rPr>
          <w:bCs/>
        </w:rPr>
        <w:t xml:space="preserve">refine your information with </w:t>
      </w:r>
      <w:r w:rsidRPr="00F306B4">
        <w:rPr>
          <w:bCs/>
        </w:rPr>
        <w:t>total</w:t>
      </w:r>
      <w:r>
        <w:rPr>
          <w:bCs/>
        </w:rPr>
        <w:t>ing</w:t>
      </w:r>
      <w:r w:rsidRPr="00F306B4">
        <w:rPr>
          <w:bCs/>
        </w:rPr>
        <w:t>, group</w:t>
      </w:r>
      <w:r>
        <w:rPr>
          <w:bCs/>
        </w:rPr>
        <w:t>ing</w:t>
      </w:r>
      <w:r w:rsidRPr="00F306B4">
        <w:rPr>
          <w:bCs/>
        </w:rPr>
        <w:t>, filter</w:t>
      </w:r>
      <w:r>
        <w:rPr>
          <w:bCs/>
        </w:rPr>
        <w:t>ing</w:t>
      </w:r>
      <w:r w:rsidRPr="00F306B4">
        <w:rPr>
          <w:bCs/>
        </w:rPr>
        <w:t xml:space="preserve"> and sort</w:t>
      </w:r>
      <w:r>
        <w:rPr>
          <w:bCs/>
        </w:rPr>
        <w:t>ing</w:t>
      </w:r>
      <w:r w:rsidRPr="00F306B4">
        <w:rPr>
          <w:bCs/>
        </w:rPr>
        <w:t xml:space="preserve"> keys after creating a dimens</w:t>
      </w:r>
      <w:r w:rsidR="001B5155">
        <w:rPr>
          <w:bCs/>
        </w:rPr>
        <w:t>ion filter for your Lab</w:t>
      </w:r>
      <w:r>
        <w:rPr>
          <w:bCs/>
        </w:rPr>
        <w:t>/</w:t>
      </w:r>
      <w:r w:rsidR="001B5155">
        <w:rPr>
          <w:bCs/>
        </w:rPr>
        <w:t>Div/</w:t>
      </w:r>
      <w:r w:rsidRPr="00F306B4">
        <w:rPr>
          <w:bCs/>
        </w:rPr>
        <w:t>Prog.</w:t>
      </w:r>
    </w:p>
    <w:p w:rsidR="004E51ED" w:rsidRDefault="004E51ED" w:rsidP="00DB09E5">
      <w:pPr>
        <w:rPr>
          <w:bCs/>
          <w:noProof/>
          <w:szCs w:val="20"/>
        </w:rPr>
      </w:pPr>
    </w:p>
    <w:p w:rsidR="00E16501" w:rsidRDefault="00AB2BA7" w:rsidP="00DB09E5">
      <w:pPr>
        <w:rPr>
          <w:bCs/>
          <w:noProof/>
          <w:szCs w:val="20"/>
        </w:rPr>
      </w:pPr>
      <w:r>
        <w:rPr>
          <w:noProof/>
        </w:rPr>
        <w:drawing>
          <wp:anchor distT="0" distB="0" distL="114300" distR="114300" simplePos="0" relativeHeight="251661312" behindDoc="0" locked="0" layoutInCell="1" allowOverlap="1" wp14:anchorId="443FFC30" wp14:editId="65BA951A">
            <wp:simplePos x="0" y="0"/>
            <wp:positionH relativeFrom="column">
              <wp:posOffset>3627120</wp:posOffset>
            </wp:positionH>
            <wp:positionV relativeFrom="paragraph">
              <wp:posOffset>2653030</wp:posOffset>
            </wp:positionV>
            <wp:extent cx="2545080" cy="1233805"/>
            <wp:effectExtent l="0" t="0" r="762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45080" cy="1233805"/>
                    </a:xfrm>
                    <a:prstGeom prst="rect">
                      <a:avLst/>
                    </a:prstGeom>
                  </pic:spPr>
                </pic:pic>
              </a:graphicData>
            </a:graphic>
            <wp14:sizeRelH relativeFrom="page">
              <wp14:pctWidth>0</wp14:pctWidth>
            </wp14:sizeRelH>
            <wp14:sizeRelV relativeFrom="page">
              <wp14:pctHeight>0</wp14:pctHeight>
            </wp14:sizeRelV>
          </wp:anchor>
        </w:drawing>
      </w:r>
      <w:r w:rsidR="004E51ED">
        <w:rPr>
          <w:noProof/>
        </w:rPr>
        <w:drawing>
          <wp:inline distT="0" distB="0" distL="0" distR="0" wp14:anchorId="3A84FD02" wp14:editId="1AEAFEDC">
            <wp:extent cx="5943600" cy="3887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887470"/>
                    </a:xfrm>
                    <a:prstGeom prst="rect">
                      <a:avLst/>
                    </a:prstGeom>
                  </pic:spPr>
                </pic:pic>
              </a:graphicData>
            </a:graphic>
          </wp:inline>
        </w:drawing>
      </w:r>
    </w:p>
    <w:p w:rsidR="004E51ED" w:rsidRDefault="004E51ED" w:rsidP="00DB09E5">
      <w:pPr>
        <w:rPr>
          <w:bCs/>
          <w:noProof/>
          <w:szCs w:val="20"/>
        </w:rPr>
      </w:pPr>
    </w:p>
    <w:p w:rsidR="004E51ED" w:rsidRPr="00E16501" w:rsidRDefault="004E51ED" w:rsidP="00DB09E5">
      <w:pPr>
        <w:rPr>
          <w:bCs/>
          <w:noProof/>
          <w:szCs w:val="20"/>
        </w:rPr>
      </w:pPr>
    </w:p>
    <w:p w:rsidR="00DB09E5" w:rsidRPr="00DB09E5" w:rsidRDefault="00DB09E5" w:rsidP="00DB09E5">
      <w:pPr>
        <w:rPr>
          <w:rFonts w:cs="Arial"/>
          <w:b/>
          <w:bCs/>
          <w:color w:val="548DD4" w:themeColor="text2" w:themeTint="99"/>
        </w:rPr>
      </w:pPr>
    </w:p>
    <w:p w:rsidR="004E51ED" w:rsidRDefault="004E51ED" w:rsidP="00DB09E5">
      <w:pPr>
        <w:rPr>
          <w:rFonts w:cs="Arial"/>
          <w:b/>
          <w:bCs/>
          <w:color w:val="548DD4" w:themeColor="text2" w:themeTint="99"/>
        </w:rPr>
      </w:pPr>
    </w:p>
    <w:p w:rsidR="00E84895" w:rsidRPr="003528EA" w:rsidRDefault="0063175D" w:rsidP="00F306B4">
      <w:pPr>
        <w:spacing w:after="200" w:line="276" w:lineRule="auto"/>
        <w:rPr>
          <w:rFonts w:cs="Arial"/>
          <w:b/>
          <w:bCs/>
          <w:color w:val="548DD4" w:themeColor="text2" w:themeTint="99"/>
          <w:u w:val="single"/>
        </w:rPr>
      </w:pPr>
      <w:r>
        <w:rPr>
          <w:rFonts w:cs="Arial"/>
          <w:b/>
          <w:bCs/>
          <w:color w:val="548DD4" w:themeColor="text2" w:themeTint="99"/>
        </w:rPr>
        <w:br w:type="page"/>
      </w:r>
      <w:r w:rsidR="00DB09E5" w:rsidRPr="003528EA">
        <w:rPr>
          <w:rFonts w:cs="Arial"/>
          <w:b/>
          <w:bCs/>
          <w:color w:val="548DD4" w:themeColor="text2" w:themeTint="99"/>
          <w:u w:val="single"/>
        </w:rPr>
        <w:lastRenderedPageBreak/>
        <w:t>FAB / UI IR Reports – IR Forecast Analysis Report</w:t>
      </w:r>
    </w:p>
    <w:p w:rsidR="00BD4B1D" w:rsidRPr="003528EA" w:rsidRDefault="00556651" w:rsidP="00A36B91">
      <w:pPr>
        <w:pStyle w:val="steps"/>
        <w:numPr>
          <w:ilvl w:val="0"/>
          <w:numId w:val="0"/>
        </w:numPr>
        <w:rPr>
          <w:b w:val="0"/>
          <w:bCs w:val="0"/>
          <w:i/>
          <w:noProof/>
        </w:rPr>
      </w:pPr>
      <w:r w:rsidRPr="00B119D9">
        <w:rPr>
          <w:bCs w:val="0"/>
          <w:noProof/>
        </w:rPr>
        <w:t xml:space="preserve">This report </w:t>
      </w:r>
      <w:r w:rsidR="00760C86" w:rsidRPr="00B119D9">
        <w:rPr>
          <w:bCs w:val="0"/>
          <w:noProof/>
        </w:rPr>
        <w:t>provides</w:t>
      </w:r>
      <w:r w:rsidR="005E5382" w:rsidRPr="00B119D9">
        <w:rPr>
          <w:bCs w:val="0"/>
          <w:noProof/>
        </w:rPr>
        <w:t xml:space="preserve"> a quick view of how</w:t>
      </w:r>
      <w:r w:rsidR="00760C86" w:rsidRPr="00B119D9">
        <w:rPr>
          <w:bCs w:val="0"/>
          <w:noProof/>
        </w:rPr>
        <w:t xml:space="preserve"> </w:t>
      </w:r>
      <w:r w:rsidR="003528EA" w:rsidRPr="00B119D9">
        <w:rPr>
          <w:bCs w:val="0"/>
          <w:noProof/>
        </w:rPr>
        <w:t>accounts look</w:t>
      </w:r>
      <w:r w:rsidR="00BD4B1D" w:rsidRPr="00B119D9">
        <w:rPr>
          <w:bCs w:val="0"/>
          <w:noProof/>
        </w:rPr>
        <w:t xml:space="preserve"> with the interim rate applied</w:t>
      </w:r>
      <w:r w:rsidR="00BD4B1D">
        <w:rPr>
          <w:b w:val="0"/>
          <w:bCs w:val="0"/>
          <w:noProof/>
        </w:rPr>
        <w:t>.</w:t>
      </w:r>
      <w:r w:rsidR="00760C86">
        <w:rPr>
          <w:b w:val="0"/>
          <w:bCs w:val="0"/>
          <w:noProof/>
        </w:rPr>
        <w:t xml:space="preserve"> </w:t>
      </w:r>
      <w:r w:rsidR="00BD4B1D">
        <w:rPr>
          <w:b w:val="0"/>
          <w:bCs w:val="0"/>
          <w:noProof/>
        </w:rPr>
        <w:t xml:space="preserve"> </w:t>
      </w:r>
      <w:r w:rsidR="003528EA" w:rsidRPr="003528EA">
        <w:rPr>
          <w:b w:val="0"/>
          <w:bCs w:val="0"/>
          <w:i/>
          <w:noProof/>
        </w:rPr>
        <w:t>(NOTE - w</w:t>
      </w:r>
      <w:r w:rsidR="00760C86" w:rsidRPr="003528EA">
        <w:rPr>
          <w:b w:val="0"/>
          <w:bCs w:val="0"/>
          <w:i/>
          <w:noProof/>
        </w:rPr>
        <w:t>hen a report includes</w:t>
      </w:r>
      <w:r w:rsidR="00BD4B1D" w:rsidRPr="003528EA">
        <w:rPr>
          <w:b w:val="0"/>
          <w:bCs w:val="0"/>
          <w:i/>
          <w:noProof/>
        </w:rPr>
        <w:t xml:space="preserve"> a forecast, actuals are as of the last month end and working plan remaining is from that month end forward.</w:t>
      </w:r>
      <w:r w:rsidR="00760C86" w:rsidRPr="003528EA">
        <w:rPr>
          <w:b w:val="0"/>
          <w:bCs w:val="0"/>
          <w:i/>
          <w:noProof/>
        </w:rPr>
        <w:t xml:space="preserve">  This is done to avoid double counting  actuals as they occur during the next month but that were also within the current month’s working plan.</w:t>
      </w:r>
      <w:r w:rsidR="003528EA" w:rsidRPr="003528EA">
        <w:rPr>
          <w:b w:val="0"/>
          <w:bCs w:val="0"/>
          <w:i/>
          <w:noProof/>
        </w:rPr>
        <w:t>)</w:t>
      </w:r>
    </w:p>
    <w:p w:rsidR="00E84895" w:rsidRDefault="00BD4B1D" w:rsidP="00A36B91">
      <w:pPr>
        <w:pStyle w:val="steps"/>
        <w:numPr>
          <w:ilvl w:val="0"/>
          <w:numId w:val="0"/>
        </w:numPr>
        <w:rPr>
          <w:b w:val="0"/>
          <w:bCs w:val="0"/>
          <w:noProof/>
        </w:rPr>
      </w:pPr>
      <w:r>
        <w:rPr>
          <w:b w:val="0"/>
          <w:bCs w:val="0"/>
          <w:noProof/>
        </w:rPr>
        <w:t>This</w:t>
      </w:r>
      <w:r w:rsidR="00760C86">
        <w:rPr>
          <w:b w:val="0"/>
          <w:bCs w:val="0"/>
          <w:noProof/>
        </w:rPr>
        <w:t xml:space="preserve"> </w:t>
      </w:r>
      <w:r w:rsidR="003528EA">
        <w:rPr>
          <w:b w:val="0"/>
          <w:bCs w:val="0"/>
          <w:noProof/>
        </w:rPr>
        <w:t xml:space="preserve">begins with the IFAS Budget </w:t>
      </w:r>
      <w:r w:rsidR="00760C86">
        <w:rPr>
          <w:b w:val="0"/>
          <w:bCs w:val="0"/>
          <w:noProof/>
        </w:rPr>
        <w:t>and applies</w:t>
      </w:r>
      <w:r>
        <w:rPr>
          <w:b w:val="0"/>
          <w:bCs w:val="0"/>
          <w:noProof/>
        </w:rPr>
        <w:t xml:space="preserve"> i</w:t>
      </w:r>
      <w:r w:rsidR="00760C86">
        <w:rPr>
          <w:b w:val="0"/>
          <w:bCs w:val="0"/>
          <w:noProof/>
        </w:rPr>
        <w:t>n</w:t>
      </w:r>
      <w:r>
        <w:rPr>
          <w:b w:val="0"/>
          <w:bCs w:val="0"/>
          <w:noProof/>
        </w:rPr>
        <w:t>t</w:t>
      </w:r>
      <w:r w:rsidR="00760C86">
        <w:rPr>
          <w:b w:val="0"/>
          <w:bCs w:val="0"/>
          <w:noProof/>
        </w:rPr>
        <w:t>erim rates to Incurred Actuals and Working Plan R</w:t>
      </w:r>
      <w:r w:rsidR="003528EA">
        <w:rPr>
          <w:b w:val="0"/>
          <w:bCs w:val="0"/>
          <w:noProof/>
        </w:rPr>
        <w:t>emaining.  The Forecast at interim r</w:t>
      </w:r>
      <w:r w:rsidR="00760C86">
        <w:rPr>
          <w:b w:val="0"/>
          <w:bCs w:val="0"/>
          <w:noProof/>
        </w:rPr>
        <w:t>ates is calculated from the IR Actuals and IR Working Plan.  The IR Foreca</w:t>
      </w:r>
      <w:r w:rsidR="003528EA">
        <w:rPr>
          <w:b w:val="0"/>
          <w:bCs w:val="0"/>
          <w:noProof/>
        </w:rPr>
        <w:t>st Funds Available is shown via</w:t>
      </w:r>
      <w:r w:rsidR="00760C86">
        <w:rPr>
          <w:b w:val="0"/>
          <w:bCs w:val="0"/>
          <w:noProof/>
        </w:rPr>
        <w:t xml:space="preserve"> IFAS Budget less the IR Forecast expenses for the year.</w:t>
      </w:r>
    </w:p>
    <w:p w:rsidR="00760C86" w:rsidRDefault="00760C86" w:rsidP="00A36B91">
      <w:pPr>
        <w:pStyle w:val="steps"/>
        <w:numPr>
          <w:ilvl w:val="0"/>
          <w:numId w:val="0"/>
        </w:numPr>
        <w:rPr>
          <w:b w:val="0"/>
          <w:bCs w:val="0"/>
          <w:noProof/>
        </w:rPr>
      </w:pPr>
      <w:r>
        <w:rPr>
          <w:b w:val="0"/>
          <w:bCs w:val="0"/>
          <w:noProof/>
        </w:rPr>
        <w:t>Expected Budget is also provided in this grid to indicate e</w:t>
      </w:r>
      <w:r w:rsidRPr="00760C86">
        <w:rPr>
          <w:b w:val="0"/>
          <w:bCs w:val="0"/>
          <w:noProof/>
        </w:rPr>
        <w:t>xpected funding not yet at UCAR</w:t>
      </w:r>
      <w:r>
        <w:rPr>
          <w:b w:val="0"/>
          <w:bCs w:val="0"/>
          <w:noProof/>
        </w:rPr>
        <w:t xml:space="preserve">. </w:t>
      </w:r>
      <w:r w:rsidRPr="003528EA">
        <w:rPr>
          <w:b w:val="0"/>
          <w:bCs w:val="0"/>
          <w:i/>
          <w:noProof/>
        </w:rPr>
        <w:t>(This information is added via the new Expected Budget – Plan Expected Funds by Month date entry grid.)</w:t>
      </w:r>
    </w:p>
    <w:p w:rsidR="00F306B4" w:rsidRPr="003528EA" w:rsidRDefault="00F306B4" w:rsidP="003528EA">
      <w:pPr>
        <w:rPr>
          <w:bCs/>
          <w:noProof/>
          <w:szCs w:val="20"/>
        </w:rPr>
      </w:pPr>
      <w:r>
        <w:rPr>
          <w:bCs/>
          <w:noProof/>
          <w:szCs w:val="20"/>
        </w:rPr>
        <w:t xml:space="preserve">Within the UI, you have the </w:t>
      </w:r>
      <w:r w:rsidRPr="00F306B4">
        <w:rPr>
          <w:bCs/>
        </w:rPr>
        <w:t xml:space="preserve">ability to </w:t>
      </w:r>
      <w:r>
        <w:rPr>
          <w:bCs/>
        </w:rPr>
        <w:t xml:space="preserve">refine your information with </w:t>
      </w:r>
      <w:r w:rsidRPr="00F306B4">
        <w:rPr>
          <w:bCs/>
        </w:rPr>
        <w:t>total</w:t>
      </w:r>
      <w:r>
        <w:rPr>
          <w:bCs/>
        </w:rPr>
        <w:t>ing</w:t>
      </w:r>
      <w:r w:rsidRPr="00F306B4">
        <w:rPr>
          <w:bCs/>
        </w:rPr>
        <w:t>, group</w:t>
      </w:r>
      <w:r>
        <w:rPr>
          <w:bCs/>
        </w:rPr>
        <w:t>ing</w:t>
      </w:r>
      <w:r w:rsidRPr="00F306B4">
        <w:rPr>
          <w:bCs/>
        </w:rPr>
        <w:t>, filter</w:t>
      </w:r>
      <w:r>
        <w:rPr>
          <w:bCs/>
        </w:rPr>
        <w:t>ing</w:t>
      </w:r>
      <w:r w:rsidRPr="00F306B4">
        <w:rPr>
          <w:bCs/>
        </w:rPr>
        <w:t xml:space="preserve"> and sort</w:t>
      </w:r>
      <w:r>
        <w:rPr>
          <w:bCs/>
        </w:rPr>
        <w:t>ing</w:t>
      </w:r>
      <w:r w:rsidRPr="00F306B4">
        <w:rPr>
          <w:bCs/>
        </w:rPr>
        <w:t xml:space="preserve"> keys after creating a dimens</w:t>
      </w:r>
      <w:r>
        <w:rPr>
          <w:bCs/>
        </w:rPr>
        <w:t>ion filter for your Lab /</w:t>
      </w:r>
      <w:r w:rsidRPr="00F306B4">
        <w:rPr>
          <w:bCs/>
        </w:rPr>
        <w:t>Div/ Prog.</w:t>
      </w:r>
    </w:p>
    <w:p w:rsidR="00760C86" w:rsidRPr="0063175D" w:rsidRDefault="00760C86" w:rsidP="00A36B91">
      <w:pPr>
        <w:pStyle w:val="steps"/>
        <w:numPr>
          <w:ilvl w:val="0"/>
          <w:numId w:val="0"/>
        </w:numPr>
        <w:rPr>
          <w:b w:val="0"/>
          <w:bCs w:val="0"/>
          <w:noProof/>
        </w:rPr>
      </w:pPr>
    </w:p>
    <w:p w:rsidR="0063175D" w:rsidRDefault="0063175D" w:rsidP="0063175D">
      <w:pPr>
        <w:pStyle w:val="steps"/>
        <w:numPr>
          <w:ilvl w:val="0"/>
          <w:numId w:val="0"/>
        </w:numPr>
        <w:ind w:left="-288"/>
        <w:rPr>
          <w:rFonts w:cs="Arial"/>
          <w:b w:val="0"/>
          <w:color w:val="548DD4" w:themeColor="text2" w:themeTint="99"/>
        </w:rPr>
      </w:pPr>
      <w:r>
        <w:rPr>
          <w:noProof/>
        </w:rPr>
        <w:drawing>
          <wp:inline distT="0" distB="0" distL="0" distR="0" wp14:anchorId="491351B3" wp14:editId="6D4274E3">
            <wp:extent cx="6319319" cy="3222448"/>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15035" cy="3220264"/>
                    </a:xfrm>
                    <a:prstGeom prst="rect">
                      <a:avLst/>
                    </a:prstGeom>
                  </pic:spPr>
                </pic:pic>
              </a:graphicData>
            </a:graphic>
          </wp:inline>
        </w:drawing>
      </w:r>
    </w:p>
    <w:p w:rsidR="0063175D" w:rsidRPr="0063175D" w:rsidRDefault="0063175D" w:rsidP="0063175D">
      <w:pPr>
        <w:pStyle w:val="steps"/>
        <w:numPr>
          <w:ilvl w:val="0"/>
          <w:numId w:val="0"/>
        </w:numPr>
        <w:ind w:left="-288"/>
        <w:rPr>
          <w:rFonts w:cs="Arial"/>
          <w:b w:val="0"/>
          <w:color w:val="548DD4" w:themeColor="text2" w:themeTint="99"/>
        </w:rPr>
      </w:pPr>
    </w:p>
    <w:p w:rsidR="0063175D" w:rsidRDefault="0063175D">
      <w:pPr>
        <w:spacing w:after="200" w:line="276" w:lineRule="auto"/>
        <w:rPr>
          <w:b/>
          <w:bCs/>
          <w:iCs/>
          <w:color w:val="548DD4" w:themeColor="text2" w:themeTint="99"/>
          <w:sz w:val="24"/>
          <w:szCs w:val="28"/>
        </w:rPr>
      </w:pPr>
      <w:r>
        <w:rPr>
          <w:b/>
          <w:bCs/>
          <w:iCs/>
          <w:color w:val="548DD4" w:themeColor="text2" w:themeTint="99"/>
          <w:sz w:val="24"/>
          <w:szCs w:val="28"/>
        </w:rPr>
        <w:br w:type="page"/>
      </w:r>
    </w:p>
    <w:p w:rsidR="0094601D" w:rsidRPr="007A224C" w:rsidRDefault="0094601D" w:rsidP="0094601D">
      <w:pPr>
        <w:rPr>
          <w:b/>
          <w:bCs/>
          <w:iCs/>
          <w:color w:val="548DD4" w:themeColor="text2" w:themeTint="99"/>
          <w:sz w:val="24"/>
          <w:szCs w:val="28"/>
        </w:rPr>
      </w:pPr>
      <w:r>
        <w:rPr>
          <w:b/>
          <w:bCs/>
          <w:iCs/>
          <w:color w:val="548DD4" w:themeColor="text2" w:themeTint="99"/>
          <w:sz w:val="24"/>
          <w:szCs w:val="28"/>
        </w:rPr>
        <w:lastRenderedPageBreak/>
        <w:t>Cognos BI Reporting Tool</w:t>
      </w:r>
    </w:p>
    <w:p w:rsidR="0094601D" w:rsidRDefault="0094601D" w:rsidP="0094601D">
      <w:pPr>
        <w:rPr>
          <w:rFonts w:cs="Arial"/>
          <w:b/>
          <w:bCs/>
          <w:color w:val="548DD4" w:themeColor="text2" w:themeTint="99"/>
        </w:rPr>
      </w:pPr>
      <w:r w:rsidRPr="00996F7A">
        <w:rPr>
          <w:rFonts w:cs="Arial"/>
          <w:b/>
          <w:bCs/>
          <w:color w:val="548DD4" w:themeColor="text2" w:themeTint="99"/>
        </w:rPr>
        <w:t>Cognos BI PRODUCTION URL</w:t>
      </w:r>
      <w:r>
        <w:rPr>
          <w:rFonts w:cs="Arial"/>
          <w:b/>
          <w:bCs/>
          <w:color w:val="548DD4" w:themeColor="text2" w:themeTint="99"/>
        </w:rPr>
        <w:t xml:space="preserve">:  </w:t>
      </w:r>
      <w:hyperlink r:id="rId14" w:history="1">
        <w:r w:rsidR="00E84895" w:rsidRPr="00444FF6">
          <w:rPr>
            <w:rStyle w:val="Hyperlink"/>
            <w:rFonts w:cs="Arial"/>
            <w:b/>
            <w:bCs/>
          </w:rPr>
          <w:t>https://famead.fanda.ucar.edu/ibmcognos/</w:t>
        </w:r>
      </w:hyperlink>
    </w:p>
    <w:p w:rsidR="00E84895" w:rsidRPr="00996F7A" w:rsidRDefault="00E84895" w:rsidP="0094601D">
      <w:pPr>
        <w:rPr>
          <w:rFonts w:cs="Arial"/>
          <w:b/>
          <w:bCs/>
          <w:color w:val="548DD4" w:themeColor="text2" w:themeTint="99"/>
        </w:rPr>
      </w:pPr>
    </w:p>
    <w:p w:rsidR="0094601D" w:rsidRPr="007D6FF0" w:rsidRDefault="00984CD3" w:rsidP="00A36B91">
      <w:pPr>
        <w:pStyle w:val="steps"/>
        <w:numPr>
          <w:ilvl w:val="0"/>
          <w:numId w:val="0"/>
        </w:numPr>
        <w:rPr>
          <w:noProof/>
        </w:rPr>
      </w:pPr>
      <w:r w:rsidRPr="007D6FF0">
        <w:rPr>
          <w:noProof/>
        </w:rPr>
        <w:t xml:space="preserve">The </w:t>
      </w:r>
      <w:r w:rsidR="006D0CF4" w:rsidRPr="007D6FF0">
        <w:rPr>
          <w:noProof/>
        </w:rPr>
        <w:t xml:space="preserve">Cognos BI </w:t>
      </w:r>
      <w:r w:rsidRPr="007D6FF0">
        <w:rPr>
          <w:noProof/>
        </w:rPr>
        <w:t>repo</w:t>
      </w:r>
      <w:r w:rsidR="006D0CF4" w:rsidRPr="007D6FF0">
        <w:rPr>
          <w:noProof/>
        </w:rPr>
        <w:t>rts are in:</w:t>
      </w:r>
      <w:r w:rsidRPr="007D6FF0">
        <w:rPr>
          <w:noProof/>
        </w:rPr>
        <w:t xml:space="preserve"> Public Folder</w:t>
      </w:r>
      <w:r w:rsidR="006D0CF4" w:rsidRPr="007D6FF0">
        <w:rPr>
          <w:noProof/>
        </w:rPr>
        <w:t xml:space="preserve"> </w:t>
      </w:r>
      <w:r w:rsidRPr="007D6FF0">
        <w:rPr>
          <w:noProof/>
        </w:rPr>
        <w:t xml:space="preserve"> &gt; UCAR Reports</w:t>
      </w:r>
      <w:r w:rsidR="006D0CF4" w:rsidRPr="007D6FF0">
        <w:rPr>
          <w:noProof/>
        </w:rPr>
        <w:t xml:space="preserve"> </w:t>
      </w:r>
      <w:r w:rsidRPr="007D6FF0">
        <w:rPr>
          <w:noProof/>
        </w:rPr>
        <w:t xml:space="preserve"> &gt; </w:t>
      </w:r>
      <w:r w:rsidR="006D0CF4" w:rsidRPr="007D6FF0">
        <w:rPr>
          <w:noProof/>
        </w:rPr>
        <w:t>Adminstrative Reports &gt; IRM</w:t>
      </w:r>
      <w:r w:rsidR="00951ED8" w:rsidRPr="007D6FF0">
        <w:rPr>
          <w:noProof/>
        </w:rPr>
        <w:t>.</w:t>
      </w:r>
    </w:p>
    <w:p w:rsidR="00951ED8" w:rsidRDefault="00984CD3" w:rsidP="00A36B91">
      <w:pPr>
        <w:pStyle w:val="steps"/>
        <w:numPr>
          <w:ilvl w:val="0"/>
          <w:numId w:val="0"/>
        </w:numPr>
        <w:rPr>
          <w:rFonts w:cs="Arial"/>
          <w:color w:val="548DD4" w:themeColor="text2" w:themeTint="99"/>
        </w:rPr>
      </w:pPr>
      <w:r>
        <w:rPr>
          <w:noProof/>
        </w:rPr>
        <w:drawing>
          <wp:inline distT="0" distB="0" distL="0" distR="0" wp14:anchorId="24669EE3" wp14:editId="25C1BEBF">
            <wp:extent cx="5943600" cy="2021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21205"/>
                    </a:xfrm>
                    <a:prstGeom prst="rect">
                      <a:avLst/>
                    </a:prstGeom>
                  </pic:spPr>
                </pic:pic>
              </a:graphicData>
            </a:graphic>
          </wp:inline>
        </w:drawing>
      </w:r>
    </w:p>
    <w:p w:rsidR="00E84895" w:rsidRDefault="00E84895" w:rsidP="00984CD3">
      <w:pPr>
        <w:rPr>
          <w:b/>
          <w:bCs/>
          <w:iCs/>
          <w:color w:val="548DD4" w:themeColor="text2" w:themeTint="99"/>
          <w:sz w:val="24"/>
          <w:szCs w:val="28"/>
        </w:rPr>
      </w:pPr>
    </w:p>
    <w:p w:rsidR="00A87613" w:rsidRPr="003B5E34" w:rsidRDefault="00A87613" w:rsidP="00A87613">
      <w:pPr>
        <w:rPr>
          <w:rFonts w:cs="Arial"/>
          <w:b/>
          <w:bCs/>
          <w:color w:val="548DD4" w:themeColor="text2" w:themeTint="99"/>
          <w:u w:val="single"/>
        </w:rPr>
      </w:pPr>
      <w:r w:rsidRPr="003B5E34">
        <w:rPr>
          <w:rFonts w:cs="Arial"/>
          <w:b/>
          <w:bCs/>
          <w:color w:val="548DD4" w:themeColor="text2" w:themeTint="99"/>
          <w:u w:val="single"/>
        </w:rPr>
        <w:t xml:space="preserve">IRM Report #1 - MTDC Expenditures by Month - Running Total </w:t>
      </w:r>
    </w:p>
    <w:p w:rsidR="00BF1726" w:rsidRDefault="00BF1726" w:rsidP="00A87613">
      <w:pPr>
        <w:rPr>
          <w:bCs/>
          <w:noProof/>
          <w:szCs w:val="20"/>
        </w:rPr>
      </w:pPr>
    </w:p>
    <w:p w:rsidR="00056D5D" w:rsidRDefault="00056D5D" w:rsidP="00A87613">
      <w:pPr>
        <w:rPr>
          <w:bCs/>
          <w:noProof/>
          <w:szCs w:val="20"/>
        </w:rPr>
      </w:pPr>
      <w:r w:rsidRPr="00B119D9">
        <w:rPr>
          <w:b/>
          <w:bCs/>
          <w:noProof/>
          <w:szCs w:val="20"/>
        </w:rPr>
        <w:t>Th</w:t>
      </w:r>
      <w:r w:rsidR="00233CED">
        <w:rPr>
          <w:b/>
          <w:bCs/>
          <w:noProof/>
          <w:szCs w:val="20"/>
        </w:rPr>
        <w:t>is report provides</w:t>
      </w:r>
      <w:r w:rsidRPr="00B119D9">
        <w:rPr>
          <w:b/>
          <w:bCs/>
          <w:noProof/>
          <w:szCs w:val="20"/>
        </w:rPr>
        <w:t xml:space="preserve"> a </w:t>
      </w:r>
      <w:r w:rsidR="00CB7EE3" w:rsidRPr="00B119D9">
        <w:rPr>
          <w:b/>
          <w:bCs/>
          <w:noProof/>
          <w:szCs w:val="20"/>
        </w:rPr>
        <w:t xml:space="preserve">RUNNING </w:t>
      </w:r>
      <w:r w:rsidRPr="00B119D9">
        <w:rPr>
          <w:b/>
          <w:bCs/>
          <w:noProof/>
          <w:szCs w:val="20"/>
        </w:rPr>
        <w:t xml:space="preserve">total of </w:t>
      </w:r>
      <w:r w:rsidR="003B5E34" w:rsidRPr="00B119D9">
        <w:rPr>
          <w:b/>
          <w:bCs/>
          <w:noProof/>
          <w:szCs w:val="20"/>
        </w:rPr>
        <w:t xml:space="preserve">actual </w:t>
      </w:r>
      <w:r w:rsidRPr="00B119D9">
        <w:rPr>
          <w:b/>
          <w:bCs/>
          <w:noProof/>
          <w:szCs w:val="20"/>
        </w:rPr>
        <w:t>MTDC by m</w:t>
      </w:r>
      <w:r w:rsidR="0050539C" w:rsidRPr="00B119D9">
        <w:rPr>
          <w:b/>
          <w:bCs/>
          <w:noProof/>
          <w:szCs w:val="20"/>
        </w:rPr>
        <w:t>onth</w:t>
      </w:r>
      <w:r w:rsidR="00BF1D5D" w:rsidRPr="00B119D9">
        <w:rPr>
          <w:b/>
          <w:bCs/>
          <w:noProof/>
          <w:szCs w:val="20"/>
        </w:rPr>
        <w:t xml:space="preserve"> by account key</w:t>
      </w:r>
      <w:r w:rsidR="0050539C" w:rsidRPr="00B119D9">
        <w:rPr>
          <w:b/>
          <w:bCs/>
          <w:noProof/>
          <w:szCs w:val="20"/>
        </w:rPr>
        <w:t xml:space="preserve"> for a given fiscal year.</w:t>
      </w:r>
      <w:r w:rsidR="0050539C">
        <w:rPr>
          <w:bCs/>
          <w:noProof/>
          <w:szCs w:val="20"/>
        </w:rPr>
        <w:t xml:space="preserve">  </w:t>
      </w:r>
      <w:r w:rsidR="003B5E34" w:rsidRPr="003B5E34">
        <w:rPr>
          <w:bCs/>
          <w:i/>
          <w:noProof/>
          <w:szCs w:val="20"/>
        </w:rPr>
        <w:t>(</w:t>
      </w:r>
      <w:r w:rsidRPr="003B5E34">
        <w:rPr>
          <w:bCs/>
          <w:i/>
          <w:noProof/>
          <w:szCs w:val="20"/>
        </w:rPr>
        <w:t xml:space="preserve">In the example below, run prior to January month end, </w:t>
      </w:r>
      <w:r w:rsidR="0050539C" w:rsidRPr="003B5E34">
        <w:rPr>
          <w:bCs/>
          <w:i/>
          <w:noProof/>
          <w:szCs w:val="20"/>
        </w:rPr>
        <w:t>the December actual MTDC is also</w:t>
      </w:r>
      <w:r w:rsidR="00E31C4C" w:rsidRPr="003B5E34">
        <w:rPr>
          <w:bCs/>
          <w:i/>
          <w:noProof/>
          <w:szCs w:val="20"/>
        </w:rPr>
        <w:t xml:space="preserve"> </w:t>
      </w:r>
      <w:r w:rsidRPr="003B5E34">
        <w:rPr>
          <w:bCs/>
          <w:i/>
          <w:noProof/>
          <w:szCs w:val="20"/>
        </w:rPr>
        <w:t xml:space="preserve">the running </w:t>
      </w:r>
      <w:r w:rsidR="0050539C" w:rsidRPr="003B5E34">
        <w:rPr>
          <w:bCs/>
          <w:i/>
          <w:noProof/>
          <w:szCs w:val="20"/>
        </w:rPr>
        <w:t xml:space="preserve">total for January and beyond… </w:t>
      </w:r>
      <w:r w:rsidR="003B5E34" w:rsidRPr="003B5E34">
        <w:rPr>
          <w:bCs/>
          <w:i/>
          <w:noProof/>
          <w:szCs w:val="20"/>
        </w:rPr>
        <w:t>)</w:t>
      </w:r>
      <w:r w:rsidR="0050539C">
        <w:rPr>
          <w:bCs/>
          <w:noProof/>
          <w:szCs w:val="20"/>
        </w:rPr>
        <w:t xml:space="preserve"> This report also provides paid days per month, highlighting months with 3 pay periods and the year end accrual impact</w:t>
      </w:r>
      <w:r w:rsidR="003B5E34">
        <w:rPr>
          <w:bCs/>
          <w:noProof/>
          <w:szCs w:val="20"/>
        </w:rPr>
        <w:t xml:space="preserve"> of</w:t>
      </w:r>
      <w:r w:rsidR="0050539C">
        <w:rPr>
          <w:bCs/>
          <w:noProof/>
          <w:szCs w:val="20"/>
        </w:rPr>
        <w:t xml:space="preserve"> more paid days in</w:t>
      </w:r>
      <w:r w:rsidR="003B5E34">
        <w:rPr>
          <w:bCs/>
          <w:noProof/>
          <w:szCs w:val="20"/>
        </w:rPr>
        <w:t xml:space="preserve"> September and </w:t>
      </w:r>
      <w:r w:rsidR="0050539C">
        <w:rPr>
          <w:bCs/>
          <w:noProof/>
          <w:szCs w:val="20"/>
        </w:rPr>
        <w:t>fewer in October.</w:t>
      </w:r>
    </w:p>
    <w:p w:rsidR="00056D5D" w:rsidRDefault="00056D5D" w:rsidP="00A87613">
      <w:pPr>
        <w:rPr>
          <w:bCs/>
          <w:noProof/>
          <w:szCs w:val="20"/>
        </w:rPr>
      </w:pPr>
    </w:p>
    <w:p w:rsidR="00A87613" w:rsidRDefault="00056D5D" w:rsidP="00A87613">
      <w:pPr>
        <w:rPr>
          <w:bCs/>
          <w:noProof/>
          <w:szCs w:val="20"/>
        </w:rPr>
      </w:pPr>
      <w:r>
        <w:rPr>
          <w:bCs/>
          <w:noProof/>
          <w:szCs w:val="20"/>
        </w:rPr>
        <w:t>User prompts for running t</w:t>
      </w:r>
      <w:r w:rsidR="00A94E17" w:rsidRPr="00A94E17">
        <w:rPr>
          <w:bCs/>
          <w:noProof/>
          <w:szCs w:val="20"/>
        </w:rPr>
        <w:t xml:space="preserve">his report </w:t>
      </w:r>
      <w:r w:rsidR="003B5E34">
        <w:rPr>
          <w:bCs/>
          <w:noProof/>
          <w:szCs w:val="20"/>
        </w:rPr>
        <w:t>require</w:t>
      </w:r>
      <w:r w:rsidR="00A94E17">
        <w:rPr>
          <w:bCs/>
          <w:noProof/>
          <w:szCs w:val="20"/>
        </w:rPr>
        <w:t xml:space="preserve"> fiscal year </w:t>
      </w:r>
      <w:r w:rsidR="007E5EB2">
        <w:rPr>
          <w:bCs/>
          <w:noProof/>
          <w:szCs w:val="20"/>
        </w:rPr>
        <w:t xml:space="preserve">and one other </w:t>
      </w:r>
      <w:r w:rsidR="00A94E17">
        <w:rPr>
          <w:bCs/>
          <w:noProof/>
          <w:szCs w:val="20"/>
        </w:rPr>
        <w:t xml:space="preserve">selection.  Typically users select information by </w:t>
      </w:r>
      <w:r w:rsidR="007E5EB2">
        <w:rPr>
          <w:bCs/>
          <w:noProof/>
          <w:szCs w:val="20"/>
        </w:rPr>
        <w:t>“</w:t>
      </w:r>
      <w:r w:rsidR="00A94E17">
        <w:rPr>
          <w:bCs/>
          <w:noProof/>
          <w:szCs w:val="20"/>
        </w:rPr>
        <w:t>account start</w:t>
      </w:r>
      <w:r w:rsidR="007E5EB2">
        <w:rPr>
          <w:bCs/>
          <w:noProof/>
          <w:szCs w:val="20"/>
        </w:rPr>
        <w:t>s</w:t>
      </w:r>
      <w:r w:rsidR="00A94E17">
        <w:rPr>
          <w:bCs/>
          <w:noProof/>
          <w:szCs w:val="20"/>
        </w:rPr>
        <w:t xml:space="preserve"> with</w:t>
      </w:r>
      <w:r w:rsidR="007E5EB2">
        <w:rPr>
          <w:bCs/>
          <w:noProof/>
          <w:szCs w:val="20"/>
        </w:rPr>
        <w:t xml:space="preserve">”, </w:t>
      </w:r>
      <w:r w:rsidR="00A94E17">
        <w:rPr>
          <w:bCs/>
          <w:noProof/>
          <w:szCs w:val="20"/>
        </w:rPr>
        <w:t xml:space="preserve">entity or lab, but </w:t>
      </w:r>
      <w:r w:rsidR="007E5EB2">
        <w:rPr>
          <w:bCs/>
          <w:noProof/>
          <w:szCs w:val="20"/>
        </w:rPr>
        <w:t xml:space="preserve">can also select or narrow down by </w:t>
      </w:r>
      <w:r w:rsidR="00A94E17">
        <w:rPr>
          <w:bCs/>
          <w:noProof/>
          <w:szCs w:val="20"/>
        </w:rPr>
        <w:t>contract, fund source, rate t</w:t>
      </w:r>
      <w:r w:rsidR="007E5EB2">
        <w:rPr>
          <w:bCs/>
          <w:noProof/>
          <w:szCs w:val="20"/>
        </w:rPr>
        <w:t>ype, subfacility, facility and division c</w:t>
      </w:r>
      <w:r w:rsidR="00A94E17">
        <w:rPr>
          <w:bCs/>
          <w:noProof/>
          <w:szCs w:val="20"/>
        </w:rPr>
        <w:t>ode.</w:t>
      </w:r>
    </w:p>
    <w:p w:rsidR="00CD54BA" w:rsidRDefault="00CD54BA" w:rsidP="00A87613">
      <w:pPr>
        <w:rPr>
          <w:bCs/>
          <w:noProof/>
          <w:szCs w:val="20"/>
        </w:rPr>
      </w:pPr>
    </w:p>
    <w:p w:rsidR="00056D5D" w:rsidRDefault="00056D5D" w:rsidP="00A87613">
      <w:pPr>
        <w:rPr>
          <w:bCs/>
          <w:noProof/>
          <w:szCs w:val="20"/>
        </w:rPr>
      </w:pPr>
      <w:r>
        <w:rPr>
          <w:noProof/>
        </w:rPr>
        <w:drawing>
          <wp:inline distT="0" distB="0" distL="0" distR="0" wp14:anchorId="6E6AAE41" wp14:editId="2CACAFE5">
            <wp:extent cx="5943600" cy="20154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015490"/>
                    </a:xfrm>
                    <a:prstGeom prst="rect">
                      <a:avLst/>
                    </a:prstGeom>
                  </pic:spPr>
                </pic:pic>
              </a:graphicData>
            </a:graphic>
          </wp:inline>
        </w:drawing>
      </w:r>
    </w:p>
    <w:p w:rsidR="007E5EB2" w:rsidRPr="00A94E17" w:rsidRDefault="007E5EB2" w:rsidP="00A87613">
      <w:pPr>
        <w:rPr>
          <w:bCs/>
          <w:noProof/>
          <w:szCs w:val="20"/>
        </w:rPr>
      </w:pPr>
    </w:p>
    <w:p w:rsidR="00A87613" w:rsidRPr="00A87613" w:rsidRDefault="00A87613" w:rsidP="00A87613">
      <w:pPr>
        <w:rPr>
          <w:rFonts w:cs="Arial"/>
          <w:b/>
          <w:bCs/>
          <w:color w:val="548DD4" w:themeColor="text2" w:themeTint="99"/>
        </w:rPr>
      </w:pPr>
    </w:p>
    <w:p w:rsidR="00CB7EE3" w:rsidRDefault="00CB7EE3" w:rsidP="00A87613">
      <w:pPr>
        <w:rPr>
          <w:rFonts w:cs="Arial"/>
          <w:b/>
          <w:bCs/>
          <w:color w:val="548DD4" w:themeColor="text2" w:themeTint="99"/>
        </w:rPr>
      </w:pPr>
    </w:p>
    <w:p w:rsidR="00CB7EE3" w:rsidRDefault="00CB7EE3" w:rsidP="00A87613">
      <w:pPr>
        <w:rPr>
          <w:rFonts w:cs="Arial"/>
          <w:b/>
          <w:bCs/>
          <w:color w:val="548DD4" w:themeColor="text2" w:themeTint="99"/>
        </w:rPr>
      </w:pPr>
    </w:p>
    <w:p w:rsidR="00CB7EE3" w:rsidRDefault="00CB7EE3" w:rsidP="00A87613">
      <w:pPr>
        <w:rPr>
          <w:rFonts w:cs="Arial"/>
          <w:b/>
          <w:bCs/>
          <w:color w:val="548DD4" w:themeColor="text2" w:themeTint="99"/>
        </w:rPr>
      </w:pPr>
    </w:p>
    <w:p w:rsidR="00CB7EE3" w:rsidRDefault="00CB7EE3" w:rsidP="00A87613">
      <w:pPr>
        <w:rPr>
          <w:rFonts w:cs="Arial"/>
          <w:b/>
          <w:bCs/>
          <w:color w:val="548DD4" w:themeColor="text2" w:themeTint="99"/>
        </w:rPr>
      </w:pPr>
    </w:p>
    <w:p w:rsidR="00CB7EE3" w:rsidRDefault="00CB7EE3" w:rsidP="00A87613">
      <w:pPr>
        <w:rPr>
          <w:rFonts w:cs="Arial"/>
          <w:b/>
          <w:bCs/>
          <w:color w:val="548DD4" w:themeColor="text2" w:themeTint="99"/>
        </w:rPr>
      </w:pPr>
    </w:p>
    <w:p w:rsidR="00CB7EE3" w:rsidRDefault="00CB7EE3" w:rsidP="00A87613">
      <w:pPr>
        <w:rPr>
          <w:rFonts w:cs="Arial"/>
          <w:b/>
          <w:bCs/>
          <w:color w:val="548DD4" w:themeColor="text2" w:themeTint="99"/>
        </w:rPr>
      </w:pPr>
    </w:p>
    <w:p w:rsidR="00CB7EE3" w:rsidRDefault="00CB7EE3" w:rsidP="00A87613">
      <w:pPr>
        <w:rPr>
          <w:rFonts w:cs="Arial"/>
          <w:b/>
          <w:bCs/>
          <w:color w:val="548DD4" w:themeColor="text2" w:themeTint="99"/>
        </w:rPr>
      </w:pPr>
    </w:p>
    <w:p w:rsidR="00A87613" w:rsidRPr="003535E1" w:rsidRDefault="00A87613" w:rsidP="00A87613">
      <w:pPr>
        <w:rPr>
          <w:rFonts w:cs="Arial"/>
          <w:b/>
          <w:bCs/>
          <w:color w:val="548DD4" w:themeColor="text2" w:themeTint="99"/>
          <w:u w:val="single"/>
        </w:rPr>
      </w:pPr>
      <w:r w:rsidRPr="003535E1">
        <w:rPr>
          <w:rFonts w:cs="Arial"/>
          <w:b/>
          <w:bCs/>
          <w:color w:val="548DD4" w:themeColor="text2" w:themeTint="99"/>
          <w:u w:val="single"/>
        </w:rPr>
        <w:lastRenderedPageBreak/>
        <w:t xml:space="preserve">IRM Report #2 - MTDC Expenditures by Month - Monthly Increments  </w:t>
      </w:r>
    </w:p>
    <w:p w:rsidR="00BF1726" w:rsidRDefault="00BF1726" w:rsidP="00FF2913">
      <w:pPr>
        <w:rPr>
          <w:bCs/>
          <w:noProof/>
          <w:szCs w:val="20"/>
        </w:rPr>
      </w:pPr>
    </w:p>
    <w:p w:rsidR="00FF2913" w:rsidRDefault="00FF2913" w:rsidP="00FF2913">
      <w:pPr>
        <w:rPr>
          <w:bCs/>
          <w:noProof/>
          <w:szCs w:val="20"/>
        </w:rPr>
      </w:pPr>
      <w:r w:rsidRPr="007D6FF0">
        <w:rPr>
          <w:b/>
          <w:bCs/>
          <w:noProof/>
          <w:szCs w:val="20"/>
        </w:rPr>
        <w:t xml:space="preserve">This </w:t>
      </w:r>
      <w:r w:rsidR="00CB7EE3" w:rsidRPr="007D6FF0">
        <w:rPr>
          <w:b/>
          <w:bCs/>
          <w:noProof/>
          <w:szCs w:val="20"/>
        </w:rPr>
        <w:t xml:space="preserve">report provides a </w:t>
      </w:r>
      <w:r w:rsidR="00233CED">
        <w:rPr>
          <w:b/>
          <w:bCs/>
          <w:noProof/>
          <w:szCs w:val="20"/>
        </w:rPr>
        <w:t>monthly INCREMENTAL</w:t>
      </w:r>
      <w:r w:rsidR="00CB7EE3" w:rsidRPr="007D6FF0">
        <w:rPr>
          <w:b/>
          <w:bCs/>
          <w:noProof/>
          <w:szCs w:val="20"/>
        </w:rPr>
        <w:t xml:space="preserve"> total of </w:t>
      </w:r>
      <w:r w:rsidR="00233CED">
        <w:rPr>
          <w:b/>
          <w:bCs/>
          <w:noProof/>
          <w:szCs w:val="20"/>
        </w:rPr>
        <w:t xml:space="preserve">actual </w:t>
      </w:r>
      <w:r w:rsidR="00CB7EE3" w:rsidRPr="007D6FF0">
        <w:rPr>
          <w:b/>
          <w:bCs/>
          <w:noProof/>
          <w:szCs w:val="20"/>
        </w:rPr>
        <w:t xml:space="preserve">MTDC </w:t>
      </w:r>
      <w:r w:rsidR="003535E1" w:rsidRPr="007D6FF0">
        <w:rPr>
          <w:b/>
          <w:bCs/>
          <w:noProof/>
          <w:szCs w:val="20"/>
        </w:rPr>
        <w:t xml:space="preserve">by account key </w:t>
      </w:r>
      <w:r w:rsidR="00CB7EE3" w:rsidRPr="007D6FF0">
        <w:rPr>
          <w:b/>
          <w:bCs/>
          <w:noProof/>
          <w:szCs w:val="20"/>
        </w:rPr>
        <w:t>for a given fiscal year.</w:t>
      </w:r>
      <w:r w:rsidR="00CB7EE3">
        <w:rPr>
          <w:bCs/>
          <w:noProof/>
          <w:szCs w:val="20"/>
        </w:rPr>
        <w:t xml:space="preserve">  </w:t>
      </w:r>
      <w:r w:rsidR="003535E1" w:rsidRPr="003535E1">
        <w:rPr>
          <w:bCs/>
          <w:i/>
          <w:noProof/>
          <w:szCs w:val="20"/>
        </w:rPr>
        <w:t>(</w:t>
      </w:r>
      <w:r w:rsidR="00CB7EE3" w:rsidRPr="003535E1">
        <w:rPr>
          <w:bCs/>
          <w:i/>
          <w:noProof/>
          <w:szCs w:val="20"/>
        </w:rPr>
        <w:t>In the example below, run prior to January month end, there is information only for October, November and December.</w:t>
      </w:r>
      <w:r w:rsidR="003535E1" w:rsidRPr="003535E1">
        <w:rPr>
          <w:bCs/>
          <w:i/>
          <w:noProof/>
          <w:szCs w:val="20"/>
        </w:rPr>
        <w:t>)</w:t>
      </w:r>
      <w:r w:rsidR="00CB7EE3">
        <w:rPr>
          <w:bCs/>
          <w:noProof/>
          <w:szCs w:val="20"/>
        </w:rPr>
        <w:t xml:space="preserve">  Again, the report also provides paid days per month, highlighting months with 3 pay periods a</w:t>
      </w:r>
      <w:r w:rsidR="003535E1">
        <w:rPr>
          <w:bCs/>
          <w:noProof/>
          <w:szCs w:val="20"/>
        </w:rPr>
        <w:t>nd the year end accrual impact of more paid days in September and</w:t>
      </w:r>
      <w:r w:rsidR="00CB7EE3">
        <w:rPr>
          <w:bCs/>
          <w:noProof/>
          <w:szCs w:val="20"/>
        </w:rPr>
        <w:t xml:space="preserve"> fewer in October</w:t>
      </w:r>
      <w:r>
        <w:rPr>
          <w:bCs/>
          <w:noProof/>
          <w:szCs w:val="20"/>
        </w:rPr>
        <w:t>.</w:t>
      </w:r>
      <w:r w:rsidR="005822E9">
        <w:rPr>
          <w:bCs/>
          <w:noProof/>
          <w:szCs w:val="20"/>
        </w:rPr>
        <w:t xml:space="preserve">  </w:t>
      </w:r>
    </w:p>
    <w:p w:rsidR="00FF2913" w:rsidRDefault="00FF2913" w:rsidP="00FF2913">
      <w:pPr>
        <w:rPr>
          <w:bCs/>
          <w:noProof/>
          <w:szCs w:val="20"/>
        </w:rPr>
      </w:pPr>
    </w:p>
    <w:p w:rsidR="00FF2913" w:rsidRDefault="00FF2913" w:rsidP="00FF2913">
      <w:pPr>
        <w:rPr>
          <w:bCs/>
          <w:noProof/>
          <w:szCs w:val="20"/>
        </w:rPr>
      </w:pPr>
      <w:r>
        <w:rPr>
          <w:bCs/>
          <w:noProof/>
          <w:szCs w:val="20"/>
        </w:rPr>
        <w:t>User prompts for running t</w:t>
      </w:r>
      <w:r w:rsidRPr="00A94E17">
        <w:rPr>
          <w:bCs/>
          <w:noProof/>
          <w:szCs w:val="20"/>
        </w:rPr>
        <w:t xml:space="preserve">his report </w:t>
      </w:r>
      <w:r w:rsidR="003535E1">
        <w:rPr>
          <w:bCs/>
          <w:noProof/>
          <w:szCs w:val="20"/>
        </w:rPr>
        <w:t>require</w:t>
      </w:r>
      <w:r>
        <w:rPr>
          <w:bCs/>
          <w:noProof/>
          <w:szCs w:val="20"/>
        </w:rPr>
        <w:t xml:space="preserve"> fiscal year and one other selection.  Typically users select information by “account starts with”, entity or lab, but can also select or narrow down by contract, fund source, rate type, subfacility, facility and division code.</w:t>
      </w:r>
    </w:p>
    <w:p w:rsidR="00A87613" w:rsidRDefault="00A87613" w:rsidP="00A87613">
      <w:pPr>
        <w:rPr>
          <w:rFonts w:cs="Arial"/>
          <w:b/>
          <w:bCs/>
          <w:color w:val="548DD4" w:themeColor="text2" w:themeTint="99"/>
        </w:rPr>
      </w:pPr>
    </w:p>
    <w:p w:rsidR="00CB7EE3" w:rsidRDefault="00CB7EE3" w:rsidP="00A87613">
      <w:pPr>
        <w:rPr>
          <w:rFonts w:cs="Arial"/>
          <w:b/>
          <w:bCs/>
          <w:color w:val="548DD4" w:themeColor="text2" w:themeTint="99"/>
        </w:rPr>
      </w:pPr>
      <w:r>
        <w:rPr>
          <w:noProof/>
        </w:rPr>
        <w:drawing>
          <wp:inline distT="0" distB="0" distL="0" distR="0" wp14:anchorId="34C0FD75" wp14:editId="21E5364C">
            <wp:extent cx="5943600" cy="2649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649855"/>
                    </a:xfrm>
                    <a:prstGeom prst="rect">
                      <a:avLst/>
                    </a:prstGeom>
                  </pic:spPr>
                </pic:pic>
              </a:graphicData>
            </a:graphic>
          </wp:inline>
        </w:drawing>
      </w:r>
    </w:p>
    <w:p w:rsidR="00A87613" w:rsidRPr="00A87613" w:rsidRDefault="00A87613" w:rsidP="00A87613">
      <w:pPr>
        <w:rPr>
          <w:rFonts w:cs="Arial"/>
          <w:b/>
          <w:bCs/>
          <w:color w:val="548DD4" w:themeColor="text2" w:themeTint="99"/>
        </w:rPr>
      </w:pPr>
    </w:p>
    <w:p w:rsidR="001215E8" w:rsidRDefault="001215E8">
      <w:pPr>
        <w:spacing w:after="200" w:line="276" w:lineRule="auto"/>
        <w:rPr>
          <w:rFonts w:cs="Arial"/>
          <w:b/>
          <w:bCs/>
          <w:color w:val="548DD4" w:themeColor="text2" w:themeTint="99"/>
        </w:rPr>
      </w:pPr>
      <w:r>
        <w:rPr>
          <w:rFonts w:cs="Arial"/>
          <w:b/>
          <w:bCs/>
          <w:color w:val="548DD4" w:themeColor="text2" w:themeTint="99"/>
        </w:rPr>
        <w:br w:type="page"/>
      </w:r>
    </w:p>
    <w:p w:rsidR="00A87613" w:rsidRPr="006744B0" w:rsidRDefault="00A87613" w:rsidP="00A87613">
      <w:pPr>
        <w:rPr>
          <w:rFonts w:cs="Arial"/>
          <w:b/>
          <w:bCs/>
          <w:color w:val="548DD4" w:themeColor="text2" w:themeTint="99"/>
          <w:u w:val="single"/>
        </w:rPr>
      </w:pPr>
      <w:r w:rsidRPr="006744B0">
        <w:rPr>
          <w:rFonts w:cs="Arial"/>
          <w:b/>
          <w:bCs/>
          <w:color w:val="548DD4" w:themeColor="text2" w:themeTint="99"/>
          <w:u w:val="single"/>
        </w:rPr>
        <w:lastRenderedPageBreak/>
        <w:t xml:space="preserve">IRM Report #3 - MTDC Total by Account- Including Interim Rate Impact  </w:t>
      </w:r>
    </w:p>
    <w:p w:rsidR="00BF1726" w:rsidRDefault="00BF1726" w:rsidP="001215E8">
      <w:pPr>
        <w:rPr>
          <w:bCs/>
          <w:noProof/>
          <w:szCs w:val="20"/>
        </w:rPr>
      </w:pPr>
    </w:p>
    <w:p w:rsidR="001215E8" w:rsidRDefault="001215E8" w:rsidP="001215E8">
      <w:pPr>
        <w:rPr>
          <w:bCs/>
          <w:noProof/>
          <w:szCs w:val="20"/>
        </w:rPr>
      </w:pPr>
      <w:r w:rsidRPr="00233CED">
        <w:rPr>
          <w:b/>
          <w:bCs/>
          <w:noProof/>
          <w:szCs w:val="20"/>
        </w:rPr>
        <w:t>Should the interim Benefit Rate change, this report provides the user with information on the subseq</w:t>
      </w:r>
      <w:r w:rsidR="00233CED">
        <w:rPr>
          <w:b/>
          <w:bCs/>
          <w:noProof/>
          <w:szCs w:val="20"/>
        </w:rPr>
        <w:t>u</w:t>
      </w:r>
      <w:r w:rsidRPr="00233CED">
        <w:rPr>
          <w:b/>
          <w:bCs/>
          <w:noProof/>
          <w:szCs w:val="20"/>
        </w:rPr>
        <w:t>ent impact on MTDC</w:t>
      </w:r>
      <w:r w:rsidR="00136DE3" w:rsidRPr="00233CED">
        <w:rPr>
          <w:b/>
          <w:bCs/>
          <w:noProof/>
          <w:szCs w:val="20"/>
        </w:rPr>
        <w:t xml:space="preserve"> by account key</w:t>
      </w:r>
      <w:r w:rsidR="00A473D0" w:rsidRPr="00233CED">
        <w:rPr>
          <w:b/>
          <w:bCs/>
          <w:noProof/>
          <w:szCs w:val="20"/>
        </w:rPr>
        <w:t xml:space="preserve"> since benefit costs are included in MTDC</w:t>
      </w:r>
      <w:r w:rsidRPr="00233CED">
        <w:rPr>
          <w:b/>
          <w:bCs/>
          <w:noProof/>
          <w:szCs w:val="20"/>
        </w:rPr>
        <w:t xml:space="preserve"> .</w:t>
      </w:r>
      <w:r>
        <w:rPr>
          <w:bCs/>
          <w:noProof/>
          <w:szCs w:val="20"/>
        </w:rPr>
        <w:t xml:space="preserve">  </w:t>
      </w:r>
      <w:r w:rsidR="00136DE3" w:rsidRPr="00136DE3">
        <w:rPr>
          <w:bCs/>
          <w:i/>
          <w:noProof/>
          <w:szCs w:val="20"/>
        </w:rPr>
        <w:t>(</w:t>
      </w:r>
      <w:r w:rsidRPr="00136DE3">
        <w:rPr>
          <w:bCs/>
          <w:i/>
          <w:noProof/>
          <w:szCs w:val="20"/>
        </w:rPr>
        <w:t>In the example below, the</w:t>
      </w:r>
      <w:r w:rsidR="00A473D0">
        <w:rPr>
          <w:bCs/>
          <w:i/>
          <w:noProof/>
          <w:szCs w:val="20"/>
        </w:rPr>
        <w:t>re has been no change</w:t>
      </w:r>
      <w:r w:rsidRPr="00136DE3">
        <w:rPr>
          <w:bCs/>
          <w:i/>
          <w:noProof/>
          <w:szCs w:val="20"/>
        </w:rPr>
        <w:t xml:space="preserve"> in the interim benefit rate and therefore, no impact.</w:t>
      </w:r>
      <w:r w:rsidR="00136DE3" w:rsidRPr="00136DE3">
        <w:rPr>
          <w:bCs/>
          <w:i/>
          <w:noProof/>
          <w:szCs w:val="20"/>
        </w:rPr>
        <w:t>)</w:t>
      </w:r>
    </w:p>
    <w:p w:rsidR="001215E8" w:rsidRDefault="001215E8" w:rsidP="001215E8">
      <w:pPr>
        <w:rPr>
          <w:bCs/>
          <w:noProof/>
          <w:szCs w:val="20"/>
        </w:rPr>
      </w:pPr>
    </w:p>
    <w:p w:rsidR="00A87613" w:rsidRDefault="001215E8" w:rsidP="001215E8">
      <w:pPr>
        <w:rPr>
          <w:bCs/>
          <w:noProof/>
          <w:szCs w:val="20"/>
        </w:rPr>
      </w:pPr>
      <w:r>
        <w:rPr>
          <w:bCs/>
          <w:noProof/>
          <w:szCs w:val="20"/>
        </w:rPr>
        <w:t>User prompts for running t</w:t>
      </w:r>
      <w:r w:rsidRPr="00A94E17">
        <w:rPr>
          <w:bCs/>
          <w:noProof/>
          <w:szCs w:val="20"/>
        </w:rPr>
        <w:t xml:space="preserve">his report </w:t>
      </w:r>
      <w:r w:rsidR="003535E1">
        <w:rPr>
          <w:bCs/>
          <w:noProof/>
          <w:szCs w:val="20"/>
        </w:rPr>
        <w:t>require</w:t>
      </w:r>
      <w:r>
        <w:rPr>
          <w:bCs/>
          <w:noProof/>
          <w:szCs w:val="20"/>
        </w:rPr>
        <w:t xml:space="preserve"> fiscal year and one other selection.  Typically users select information by “account starts with”, entity or lab, but can also select or narrow down by contract, fund source, rate type, subfacility, facility and division code.</w:t>
      </w:r>
    </w:p>
    <w:p w:rsidR="001215E8" w:rsidRDefault="001215E8" w:rsidP="001215E8">
      <w:pPr>
        <w:rPr>
          <w:bCs/>
          <w:noProof/>
          <w:szCs w:val="20"/>
        </w:rPr>
      </w:pPr>
    </w:p>
    <w:p w:rsidR="001215E8" w:rsidRDefault="001215E8" w:rsidP="001215E8">
      <w:pPr>
        <w:rPr>
          <w:rFonts w:cs="Arial"/>
          <w:b/>
          <w:bCs/>
          <w:color w:val="548DD4" w:themeColor="text2" w:themeTint="99"/>
        </w:rPr>
      </w:pPr>
      <w:r>
        <w:rPr>
          <w:noProof/>
        </w:rPr>
        <w:drawing>
          <wp:inline distT="0" distB="0" distL="0" distR="0" wp14:anchorId="54271839" wp14:editId="78DAD97D">
            <wp:extent cx="5943600" cy="4084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4084320"/>
                    </a:xfrm>
                    <a:prstGeom prst="rect">
                      <a:avLst/>
                    </a:prstGeom>
                  </pic:spPr>
                </pic:pic>
              </a:graphicData>
            </a:graphic>
          </wp:inline>
        </w:drawing>
      </w:r>
    </w:p>
    <w:p w:rsidR="00A87613" w:rsidRDefault="00A87613" w:rsidP="00A87613">
      <w:pPr>
        <w:rPr>
          <w:rFonts w:cs="Arial"/>
          <w:b/>
          <w:bCs/>
          <w:color w:val="548DD4" w:themeColor="text2" w:themeTint="99"/>
        </w:rPr>
      </w:pPr>
    </w:p>
    <w:p w:rsidR="001215E8" w:rsidRPr="00A87613" w:rsidRDefault="001215E8" w:rsidP="00A87613">
      <w:pPr>
        <w:rPr>
          <w:rFonts w:cs="Arial"/>
          <w:b/>
          <w:bCs/>
          <w:color w:val="548DD4" w:themeColor="text2" w:themeTint="99"/>
        </w:rPr>
      </w:pPr>
    </w:p>
    <w:p w:rsidR="00FF2ED5" w:rsidRDefault="00FF2ED5">
      <w:pPr>
        <w:spacing w:after="200" w:line="276" w:lineRule="auto"/>
        <w:rPr>
          <w:rFonts w:cs="Arial"/>
          <w:b/>
          <w:bCs/>
          <w:color w:val="548DD4" w:themeColor="text2" w:themeTint="99"/>
        </w:rPr>
      </w:pPr>
      <w:r>
        <w:rPr>
          <w:rFonts w:cs="Arial"/>
          <w:b/>
          <w:bCs/>
          <w:color w:val="548DD4" w:themeColor="text2" w:themeTint="99"/>
        </w:rPr>
        <w:br w:type="page"/>
      </w:r>
    </w:p>
    <w:p w:rsidR="00A87613" w:rsidRPr="006744B0" w:rsidRDefault="00A87613" w:rsidP="00A87613">
      <w:pPr>
        <w:rPr>
          <w:rFonts w:cs="Arial"/>
          <w:b/>
          <w:bCs/>
          <w:color w:val="548DD4" w:themeColor="text2" w:themeTint="99"/>
          <w:u w:val="single"/>
        </w:rPr>
      </w:pPr>
      <w:r w:rsidRPr="006744B0">
        <w:rPr>
          <w:rFonts w:cs="Arial"/>
          <w:b/>
          <w:bCs/>
          <w:color w:val="548DD4" w:themeColor="text2" w:themeTint="99"/>
          <w:u w:val="single"/>
        </w:rPr>
        <w:lastRenderedPageBreak/>
        <w:t xml:space="preserve">IRM Report #4 - MTDC Total Entity and Rate Type – Including Interim Rate </w:t>
      </w:r>
      <w:r w:rsidR="00B92491" w:rsidRPr="006744B0">
        <w:rPr>
          <w:rFonts w:cs="Arial"/>
          <w:b/>
          <w:bCs/>
          <w:color w:val="548DD4" w:themeColor="text2" w:themeTint="99"/>
          <w:u w:val="single"/>
        </w:rPr>
        <w:t>Impact</w:t>
      </w:r>
    </w:p>
    <w:p w:rsidR="00BF1726" w:rsidRDefault="00BF1726" w:rsidP="002618BE">
      <w:pPr>
        <w:rPr>
          <w:bCs/>
          <w:noProof/>
          <w:szCs w:val="20"/>
        </w:rPr>
      </w:pPr>
    </w:p>
    <w:p w:rsidR="002618BE" w:rsidRPr="006744B0" w:rsidRDefault="00233CED" w:rsidP="002618BE">
      <w:pPr>
        <w:rPr>
          <w:bCs/>
          <w:i/>
          <w:noProof/>
          <w:szCs w:val="20"/>
        </w:rPr>
      </w:pPr>
      <w:r w:rsidRPr="00233CED">
        <w:rPr>
          <w:b/>
          <w:bCs/>
          <w:noProof/>
          <w:szCs w:val="20"/>
        </w:rPr>
        <w:t>Should the interim Benefit Rate change, t</w:t>
      </w:r>
      <w:r w:rsidR="00FF2ED5" w:rsidRPr="00233CED">
        <w:rPr>
          <w:b/>
          <w:bCs/>
          <w:noProof/>
          <w:szCs w:val="20"/>
        </w:rPr>
        <w:t xml:space="preserve">his report provides information at the entity </w:t>
      </w:r>
      <w:r w:rsidR="00BF1726" w:rsidRPr="00233CED">
        <w:rPr>
          <w:b/>
          <w:bCs/>
          <w:noProof/>
          <w:szCs w:val="20"/>
        </w:rPr>
        <w:t xml:space="preserve">and rate type </w:t>
      </w:r>
      <w:r w:rsidR="00FF2ED5" w:rsidRPr="00233CED">
        <w:rPr>
          <w:b/>
          <w:bCs/>
          <w:noProof/>
          <w:szCs w:val="20"/>
        </w:rPr>
        <w:t xml:space="preserve">level on the </w:t>
      </w:r>
      <w:r>
        <w:rPr>
          <w:b/>
          <w:bCs/>
          <w:noProof/>
          <w:szCs w:val="20"/>
        </w:rPr>
        <w:t xml:space="preserve">subsequent </w:t>
      </w:r>
      <w:r w:rsidR="00FF2ED5" w:rsidRPr="00233CED">
        <w:rPr>
          <w:b/>
          <w:bCs/>
          <w:noProof/>
          <w:szCs w:val="20"/>
        </w:rPr>
        <w:t>impact on MTDC as well as a forecast of how such a change might impact the overall MTDC estimate for the year</w:t>
      </w:r>
      <w:r w:rsidR="002618BE" w:rsidRPr="00233CED">
        <w:rPr>
          <w:b/>
          <w:bCs/>
          <w:noProof/>
          <w:szCs w:val="20"/>
        </w:rPr>
        <w:t>.</w:t>
      </w:r>
      <w:r w:rsidR="002618BE">
        <w:rPr>
          <w:bCs/>
          <w:noProof/>
          <w:szCs w:val="20"/>
        </w:rPr>
        <w:t xml:space="preserve">  </w:t>
      </w:r>
      <w:r w:rsidR="00FF2ED5">
        <w:rPr>
          <w:bCs/>
          <w:noProof/>
          <w:szCs w:val="20"/>
        </w:rPr>
        <w:t>The IR Forecast</w:t>
      </w:r>
      <w:r w:rsidR="006227A9">
        <w:rPr>
          <w:bCs/>
          <w:noProof/>
          <w:szCs w:val="20"/>
        </w:rPr>
        <w:t xml:space="preserve"> for MTDC</w:t>
      </w:r>
      <w:r w:rsidR="00FF2ED5">
        <w:rPr>
          <w:bCs/>
          <w:noProof/>
          <w:szCs w:val="20"/>
        </w:rPr>
        <w:t xml:space="preserve"> includes interim</w:t>
      </w:r>
      <w:r w:rsidR="006227A9">
        <w:rPr>
          <w:bCs/>
          <w:noProof/>
          <w:szCs w:val="20"/>
        </w:rPr>
        <w:t xml:space="preserve"> benefit</w:t>
      </w:r>
      <w:r w:rsidR="00FF2ED5">
        <w:rPr>
          <w:bCs/>
          <w:noProof/>
          <w:szCs w:val="20"/>
        </w:rPr>
        <w:t xml:space="preserve"> rates applied to actuals plus interim </w:t>
      </w:r>
      <w:r w:rsidR="006227A9">
        <w:rPr>
          <w:bCs/>
          <w:noProof/>
          <w:szCs w:val="20"/>
        </w:rPr>
        <w:t xml:space="preserve">benefit </w:t>
      </w:r>
      <w:r w:rsidR="00FF2ED5">
        <w:rPr>
          <w:bCs/>
          <w:noProof/>
          <w:szCs w:val="20"/>
        </w:rPr>
        <w:t>rates applied to Worki</w:t>
      </w:r>
      <w:r w:rsidR="00BF1726">
        <w:rPr>
          <w:bCs/>
          <w:noProof/>
          <w:szCs w:val="20"/>
        </w:rPr>
        <w:t>ng Plan Remaining</w:t>
      </w:r>
      <w:r w:rsidR="00B4021A">
        <w:rPr>
          <w:bCs/>
          <w:noProof/>
          <w:szCs w:val="20"/>
        </w:rPr>
        <w:t>.</w:t>
      </w:r>
      <w:r w:rsidR="006227A9">
        <w:rPr>
          <w:bCs/>
          <w:noProof/>
          <w:szCs w:val="20"/>
        </w:rPr>
        <w:t xml:space="preserve">  In the example below,</w:t>
      </w:r>
      <w:r w:rsidR="00BF1726">
        <w:rPr>
          <w:bCs/>
          <w:noProof/>
          <w:szCs w:val="20"/>
        </w:rPr>
        <w:t xml:space="preserve"> there has been no change</w:t>
      </w:r>
      <w:r w:rsidR="006227A9">
        <w:rPr>
          <w:bCs/>
          <w:noProof/>
          <w:szCs w:val="20"/>
        </w:rPr>
        <w:t xml:space="preserve"> in the interim benefit rate and therefore, no impact.  </w:t>
      </w:r>
      <w:r w:rsidR="006227A9" w:rsidRPr="006744B0">
        <w:rPr>
          <w:bCs/>
          <w:i/>
          <w:noProof/>
          <w:szCs w:val="20"/>
        </w:rPr>
        <w:t xml:space="preserve">(The </w:t>
      </w:r>
      <w:r w:rsidR="00727EC6" w:rsidRPr="006744B0">
        <w:rPr>
          <w:bCs/>
          <w:i/>
          <w:noProof/>
          <w:szCs w:val="20"/>
        </w:rPr>
        <w:t xml:space="preserve">example </w:t>
      </w:r>
      <w:r w:rsidR="006227A9" w:rsidRPr="006744B0">
        <w:rPr>
          <w:bCs/>
          <w:i/>
          <w:noProof/>
          <w:szCs w:val="20"/>
        </w:rPr>
        <w:t xml:space="preserve">Accounts begin with “19” </w:t>
      </w:r>
      <w:r w:rsidR="00727EC6" w:rsidRPr="006744B0">
        <w:rPr>
          <w:bCs/>
          <w:i/>
          <w:noProof/>
          <w:szCs w:val="20"/>
        </w:rPr>
        <w:t xml:space="preserve">was continued; </w:t>
      </w:r>
      <w:r w:rsidR="006227A9" w:rsidRPr="006744B0">
        <w:rPr>
          <w:bCs/>
          <w:i/>
          <w:noProof/>
          <w:szCs w:val="20"/>
        </w:rPr>
        <w:t>this report would typcally be run with the entity prompt rather than the account prompt.)</w:t>
      </w:r>
    </w:p>
    <w:p w:rsidR="002618BE" w:rsidRDefault="002618BE" w:rsidP="002618BE">
      <w:pPr>
        <w:rPr>
          <w:bCs/>
          <w:noProof/>
          <w:szCs w:val="20"/>
        </w:rPr>
      </w:pPr>
    </w:p>
    <w:p w:rsidR="002618BE" w:rsidRDefault="002618BE" w:rsidP="002618BE">
      <w:pPr>
        <w:rPr>
          <w:bCs/>
          <w:noProof/>
          <w:szCs w:val="20"/>
        </w:rPr>
      </w:pPr>
      <w:r>
        <w:rPr>
          <w:bCs/>
          <w:noProof/>
          <w:szCs w:val="20"/>
        </w:rPr>
        <w:t>User prompts for running t</w:t>
      </w:r>
      <w:r w:rsidRPr="00A94E17">
        <w:rPr>
          <w:bCs/>
          <w:noProof/>
          <w:szCs w:val="20"/>
        </w:rPr>
        <w:t xml:space="preserve">his report </w:t>
      </w:r>
      <w:r w:rsidR="006744B0">
        <w:rPr>
          <w:bCs/>
          <w:noProof/>
          <w:szCs w:val="20"/>
        </w:rPr>
        <w:t>require</w:t>
      </w:r>
      <w:r>
        <w:rPr>
          <w:bCs/>
          <w:noProof/>
          <w:szCs w:val="20"/>
        </w:rPr>
        <w:t xml:space="preserve"> fiscal year and one other selection.  Typically users select information</w:t>
      </w:r>
      <w:r w:rsidR="006227A9">
        <w:rPr>
          <w:bCs/>
          <w:noProof/>
          <w:szCs w:val="20"/>
        </w:rPr>
        <w:t xml:space="preserve"> entity</w:t>
      </w:r>
      <w:r>
        <w:rPr>
          <w:bCs/>
          <w:noProof/>
          <w:szCs w:val="20"/>
        </w:rPr>
        <w:t>, but can also select or narrow down by</w:t>
      </w:r>
      <w:r w:rsidR="00FF2ED5">
        <w:rPr>
          <w:bCs/>
          <w:noProof/>
          <w:szCs w:val="20"/>
        </w:rPr>
        <w:t xml:space="preserve"> account,</w:t>
      </w:r>
      <w:r>
        <w:rPr>
          <w:bCs/>
          <w:noProof/>
          <w:szCs w:val="20"/>
        </w:rPr>
        <w:t xml:space="preserve"> contract, fund source, and rate type.</w:t>
      </w:r>
      <w:r w:rsidR="00FF2ED5">
        <w:rPr>
          <w:bCs/>
          <w:noProof/>
          <w:szCs w:val="20"/>
        </w:rPr>
        <w:t xml:space="preserve">  </w:t>
      </w:r>
    </w:p>
    <w:p w:rsidR="00FF2ED5" w:rsidRDefault="00FF2ED5" w:rsidP="002618BE">
      <w:pPr>
        <w:rPr>
          <w:bCs/>
          <w:noProof/>
          <w:szCs w:val="20"/>
        </w:rPr>
      </w:pPr>
    </w:p>
    <w:p w:rsidR="00FF2ED5" w:rsidRDefault="00FF2ED5" w:rsidP="002618BE">
      <w:pPr>
        <w:rPr>
          <w:bCs/>
          <w:noProof/>
          <w:szCs w:val="20"/>
        </w:rPr>
      </w:pPr>
      <w:r>
        <w:rPr>
          <w:noProof/>
        </w:rPr>
        <w:drawing>
          <wp:inline distT="0" distB="0" distL="0" distR="0" wp14:anchorId="04E210DE" wp14:editId="7B364A86">
            <wp:extent cx="5943600" cy="13411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341120"/>
                    </a:xfrm>
                    <a:prstGeom prst="rect">
                      <a:avLst/>
                    </a:prstGeom>
                  </pic:spPr>
                </pic:pic>
              </a:graphicData>
            </a:graphic>
          </wp:inline>
        </w:drawing>
      </w:r>
    </w:p>
    <w:p w:rsidR="00A87613" w:rsidRDefault="00A87613" w:rsidP="00A87613">
      <w:pPr>
        <w:rPr>
          <w:rFonts w:cs="Arial"/>
          <w:b/>
          <w:bCs/>
          <w:color w:val="548DD4" w:themeColor="text2" w:themeTint="99"/>
        </w:rPr>
      </w:pPr>
    </w:p>
    <w:p w:rsidR="00A87613" w:rsidRPr="00A87613" w:rsidRDefault="00A87613" w:rsidP="00A87613">
      <w:pPr>
        <w:rPr>
          <w:rFonts w:cs="Arial"/>
          <w:b/>
          <w:bCs/>
          <w:color w:val="548DD4" w:themeColor="text2" w:themeTint="99"/>
        </w:rPr>
      </w:pPr>
    </w:p>
    <w:p w:rsidR="007E4B85" w:rsidRDefault="007E4B85">
      <w:pPr>
        <w:spacing w:after="200" w:line="276" w:lineRule="auto"/>
        <w:rPr>
          <w:rFonts w:cs="Arial"/>
          <w:b/>
          <w:bCs/>
          <w:color w:val="548DD4" w:themeColor="text2" w:themeTint="99"/>
        </w:rPr>
      </w:pPr>
      <w:r>
        <w:rPr>
          <w:rFonts w:cs="Arial"/>
          <w:b/>
          <w:bCs/>
          <w:color w:val="548DD4" w:themeColor="text2" w:themeTint="99"/>
        </w:rPr>
        <w:br w:type="page"/>
      </w:r>
    </w:p>
    <w:p w:rsidR="00A87613" w:rsidRPr="006744B0" w:rsidRDefault="00A87613" w:rsidP="00A87613">
      <w:pPr>
        <w:rPr>
          <w:rFonts w:cs="Arial"/>
          <w:b/>
          <w:bCs/>
          <w:color w:val="548DD4" w:themeColor="text2" w:themeTint="99"/>
          <w:u w:val="single"/>
        </w:rPr>
      </w:pPr>
      <w:r w:rsidRPr="006744B0">
        <w:rPr>
          <w:rFonts w:cs="Arial"/>
          <w:b/>
          <w:bCs/>
          <w:color w:val="548DD4" w:themeColor="text2" w:themeTint="99"/>
          <w:u w:val="single"/>
        </w:rPr>
        <w:lastRenderedPageBreak/>
        <w:t>IRM Report #5 - MTDC Total by Entity and Lab</w:t>
      </w:r>
      <w:r w:rsidR="00E7554F" w:rsidRPr="006744B0">
        <w:rPr>
          <w:rFonts w:cs="Arial"/>
          <w:b/>
          <w:bCs/>
          <w:color w:val="548DD4" w:themeColor="text2" w:themeTint="99"/>
          <w:u w:val="single"/>
        </w:rPr>
        <w:t xml:space="preserve"> </w:t>
      </w:r>
      <w:r w:rsidRPr="006744B0">
        <w:rPr>
          <w:rFonts w:cs="Arial"/>
          <w:b/>
          <w:bCs/>
          <w:color w:val="548DD4" w:themeColor="text2" w:themeTint="99"/>
          <w:u w:val="single"/>
        </w:rPr>
        <w:t xml:space="preserve">– Including Interim </w:t>
      </w:r>
      <w:r w:rsidR="00FD19DE" w:rsidRPr="006744B0">
        <w:rPr>
          <w:rFonts w:cs="Arial"/>
          <w:b/>
          <w:bCs/>
          <w:color w:val="548DD4" w:themeColor="text2" w:themeTint="99"/>
          <w:u w:val="single"/>
        </w:rPr>
        <w:t>Rate</w:t>
      </w:r>
      <w:r w:rsidR="00B92491" w:rsidRPr="006744B0">
        <w:rPr>
          <w:rFonts w:cs="Arial"/>
          <w:b/>
          <w:bCs/>
          <w:color w:val="548DD4" w:themeColor="text2" w:themeTint="99"/>
          <w:u w:val="single"/>
        </w:rPr>
        <w:t xml:space="preserve"> Impact</w:t>
      </w:r>
    </w:p>
    <w:p w:rsidR="00BF1726" w:rsidRDefault="00BF1726" w:rsidP="003816B5">
      <w:pPr>
        <w:rPr>
          <w:bCs/>
          <w:noProof/>
          <w:szCs w:val="20"/>
        </w:rPr>
      </w:pPr>
    </w:p>
    <w:p w:rsidR="003816B5" w:rsidRDefault="003816B5" w:rsidP="003816B5">
      <w:pPr>
        <w:rPr>
          <w:bCs/>
          <w:noProof/>
          <w:szCs w:val="20"/>
        </w:rPr>
      </w:pPr>
      <w:r w:rsidRPr="00233CED">
        <w:rPr>
          <w:b/>
          <w:bCs/>
          <w:noProof/>
          <w:szCs w:val="20"/>
        </w:rPr>
        <w:t>This report provide</w:t>
      </w:r>
      <w:r w:rsidR="00C20177" w:rsidRPr="00233CED">
        <w:rPr>
          <w:b/>
          <w:bCs/>
          <w:noProof/>
          <w:szCs w:val="20"/>
        </w:rPr>
        <w:t>s information at the entit</w:t>
      </w:r>
      <w:r w:rsidR="00233CED">
        <w:rPr>
          <w:b/>
          <w:bCs/>
          <w:noProof/>
          <w:szCs w:val="20"/>
        </w:rPr>
        <w:t>y level, by</w:t>
      </w:r>
      <w:r w:rsidR="00C20177" w:rsidRPr="00233CED">
        <w:rPr>
          <w:b/>
          <w:bCs/>
          <w:noProof/>
          <w:szCs w:val="20"/>
        </w:rPr>
        <w:t xml:space="preserve"> </w:t>
      </w:r>
      <w:r w:rsidR="00FD19DE" w:rsidRPr="00233CED">
        <w:rPr>
          <w:b/>
          <w:bCs/>
          <w:noProof/>
          <w:szCs w:val="20"/>
        </w:rPr>
        <w:t>lab</w:t>
      </w:r>
      <w:r w:rsidR="00B4021A" w:rsidRPr="00233CED">
        <w:rPr>
          <w:b/>
          <w:bCs/>
          <w:noProof/>
          <w:szCs w:val="20"/>
        </w:rPr>
        <w:t xml:space="preserve"> </w:t>
      </w:r>
      <w:r w:rsidR="00233CED">
        <w:rPr>
          <w:b/>
          <w:bCs/>
          <w:noProof/>
          <w:szCs w:val="20"/>
        </w:rPr>
        <w:t>and rate type,</w:t>
      </w:r>
      <w:r w:rsidR="00B4021A" w:rsidRPr="00233CED">
        <w:rPr>
          <w:b/>
          <w:bCs/>
          <w:noProof/>
          <w:szCs w:val="20"/>
        </w:rPr>
        <w:t xml:space="preserve"> </w:t>
      </w:r>
      <w:r w:rsidRPr="00233CED">
        <w:rPr>
          <w:b/>
          <w:bCs/>
          <w:noProof/>
          <w:szCs w:val="20"/>
        </w:rPr>
        <w:t xml:space="preserve">on the </w:t>
      </w:r>
      <w:r w:rsidR="00B4021A" w:rsidRPr="00233CED">
        <w:rPr>
          <w:b/>
          <w:bCs/>
          <w:noProof/>
          <w:szCs w:val="20"/>
        </w:rPr>
        <w:t xml:space="preserve">incurred actual MTDC at both provisional and interim rates </w:t>
      </w:r>
      <w:r w:rsidRPr="00233CED">
        <w:rPr>
          <w:b/>
          <w:bCs/>
          <w:noProof/>
          <w:szCs w:val="20"/>
        </w:rPr>
        <w:t xml:space="preserve">as well as a forecast of how such a change might impact the overall MTDC estimate for the year.  </w:t>
      </w:r>
      <w:r>
        <w:rPr>
          <w:bCs/>
          <w:noProof/>
          <w:szCs w:val="20"/>
        </w:rPr>
        <w:t>The IR Forecast for MTDC includes interim benefit rates applied to actuals plus interim benefit rates app</w:t>
      </w:r>
      <w:r w:rsidR="00C20177">
        <w:rPr>
          <w:bCs/>
          <w:noProof/>
          <w:szCs w:val="20"/>
        </w:rPr>
        <w:t>lied to Working Plan Remaining</w:t>
      </w:r>
      <w:r w:rsidR="00A74A29">
        <w:rPr>
          <w:bCs/>
          <w:noProof/>
          <w:szCs w:val="20"/>
        </w:rPr>
        <w:t xml:space="preserve">. </w:t>
      </w:r>
      <w:r>
        <w:rPr>
          <w:bCs/>
          <w:noProof/>
          <w:szCs w:val="20"/>
        </w:rPr>
        <w:t xml:space="preserve"> In the example below,</w:t>
      </w:r>
      <w:r w:rsidR="00C20177">
        <w:rPr>
          <w:bCs/>
          <w:noProof/>
          <w:szCs w:val="20"/>
        </w:rPr>
        <w:t xml:space="preserve"> there has been no change</w:t>
      </w:r>
      <w:r>
        <w:rPr>
          <w:bCs/>
          <w:noProof/>
          <w:szCs w:val="20"/>
        </w:rPr>
        <w:t xml:space="preserve"> in the interim benefit rate and therefore, no impact.  </w:t>
      </w:r>
      <w:r w:rsidRPr="006744B0">
        <w:rPr>
          <w:bCs/>
          <w:i/>
          <w:noProof/>
          <w:szCs w:val="20"/>
        </w:rPr>
        <w:t>(The</w:t>
      </w:r>
      <w:r w:rsidR="00727EC6" w:rsidRPr="006744B0">
        <w:rPr>
          <w:bCs/>
          <w:i/>
          <w:noProof/>
          <w:szCs w:val="20"/>
        </w:rPr>
        <w:t xml:space="preserve"> example </w:t>
      </w:r>
      <w:r w:rsidRPr="006744B0">
        <w:rPr>
          <w:bCs/>
          <w:i/>
          <w:noProof/>
          <w:szCs w:val="20"/>
        </w:rPr>
        <w:t>with</w:t>
      </w:r>
      <w:r w:rsidR="00727EC6" w:rsidRPr="006744B0">
        <w:rPr>
          <w:bCs/>
          <w:i/>
          <w:noProof/>
          <w:szCs w:val="20"/>
        </w:rPr>
        <w:t xml:space="preserve"> Division</w:t>
      </w:r>
      <w:r w:rsidRPr="006744B0">
        <w:rPr>
          <w:bCs/>
          <w:i/>
          <w:noProof/>
          <w:szCs w:val="20"/>
        </w:rPr>
        <w:t xml:space="preserve"> “19” </w:t>
      </w:r>
      <w:r w:rsidR="00727EC6" w:rsidRPr="006744B0">
        <w:rPr>
          <w:bCs/>
          <w:i/>
          <w:noProof/>
          <w:szCs w:val="20"/>
        </w:rPr>
        <w:t xml:space="preserve">was continued; </w:t>
      </w:r>
      <w:r w:rsidRPr="006744B0">
        <w:rPr>
          <w:bCs/>
          <w:i/>
          <w:noProof/>
          <w:szCs w:val="20"/>
        </w:rPr>
        <w:t>this report would typcally be run with the entity prompt rather than the account prompt.)</w:t>
      </w:r>
    </w:p>
    <w:p w:rsidR="003816B5" w:rsidRDefault="003816B5" w:rsidP="003816B5">
      <w:pPr>
        <w:rPr>
          <w:bCs/>
          <w:noProof/>
          <w:szCs w:val="20"/>
        </w:rPr>
      </w:pPr>
    </w:p>
    <w:p w:rsidR="00A87613" w:rsidRDefault="003816B5" w:rsidP="003816B5">
      <w:pPr>
        <w:rPr>
          <w:bCs/>
          <w:noProof/>
          <w:szCs w:val="20"/>
        </w:rPr>
      </w:pPr>
      <w:r>
        <w:rPr>
          <w:bCs/>
          <w:noProof/>
          <w:szCs w:val="20"/>
        </w:rPr>
        <w:t>User prompts for running t</w:t>
      </w:r>
      <w:r w:rsidRPr="00A94E17">
        <w:rPr>
          <w:bCs/>
          <w:noProof/>
          <w:szCs w:val="20"/>
        </w:rPr>
        <w:t xml:space="preserve">his report </w:t>
      </w:r>
      <w:r w:rsidR="006744B0">
        <w:rPr>
          <w:bCs/>
          <w:noProof/>
          <w:szCs w:val="20"/>
        </w:rPr>
        <w:t>require</w:t>
      </w:r>
      <w:r>
        <w:rPr>
          <w:bCs/>
          <w:noProof/>
          <w:szCs w:val="20"/>
        </w:rPr>
        <w:t xml:space="preserve"> fiscal year and one other selection.  Typically users select information entity, but can also select or narrow down by account, </w:t>
      </w:r>
      <w:r w:rsidR="00B4021A">
        <w:rPr>
          <w:bCs/>
          <w:noProof/>
          <w:szCs w:val="20"/>
        </w:rPr>
        <w:t xml:space="preserve">division code, </w:t>
      </w:r>
      <w:r>
        <w:rPr>
          <w:bCs/>
          <w:noProof/>
          <w:szCs w:val="20"/>
        </w:rPr>
        <w:t>contract, fund source, and rate type.</w:t>
      </w:r>
    </w:p>
    <w:p w:rsidR="003816B5" w:rsidRDefault="003816B5" w:rsidP="003816B5">
      <w:pPr>
        <w:rPr>
          <w:bCs/>
          <w:noProof/>
          <w:szCs w:val="20"/>
        </w:rPr>
      </w:pPr>
    </w:p>
    <w:p w:rsidR="003816B5" w:rsidRDefault="00E7554F" w:rsidP="003816B5">
      <w:pPr>
        <w:rPr>
          <w:rFonts w:cs="Arial"/>
          <w:b/>
          <w:bCs/>
          <w:color w:val="548DD4" w:themeColor="text2" w:themeTint="99"/>
        </w:rPr>
      </w:pPr>
      <w:r>
        <w:rPr>
          <w:noProof/>
        </w:rPr>
        <w:drawing>
          <wp:inline distT="0" distB="0" distL="0" distR="0" wp14:anchorId="3A1E9980" wp14:editId="243EC912">
            <wp:extent cx="5943600" cy="1782445"/>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782445"/>
                    </a:xfrm>
                    <a:prstGeom prst="rect">
                      <a:avLst/>
                    </a:prstGeom>
                  </pic:spPr>
                </pic:pic>
              </a:graphicData>
            </a:graphic>
          </wp:inline>
        </w:drawing>
      </w:r>
    </w:p>
    <w:p w:rsidR="00A87613" w:rsidRPr="00A87613" w:rsidRDefault="00A87613" w:rsidP="00A87613">
      <w:pPr>
        <w:rPr>
          <w:rFonts w:cs="Arial"/>
          <w:b/>
          <w:bCs/>
          <w:color w:val="548DD4" w:themeColor="text2" w:themeTint="99"/>
        </w:rPr>
      </w:pPr>
    </w:p>
    <w:p w:rsidR="00F67886" w:rsidRDefault="00F67886">
      <w:pPr>
        <w:spacing w:after="200" w:line="276" w:lineRule="auto"/>
        <w:rPr>
          <w:rFonts w:cs="Arial"/>
          <w:b/>
          <w:bCs/>
          <w:color w:val="548DD4" w:themeColor="text2" w:themeTint="99"/>
        </w:rPr>
      </w:pPr>
      <w:r>
        <w:rPr>
          <w:rFonts w:cs="Arial"/>
          <w:b/>
          <w:bCs/>
          <w:color w:val="548DD4" w:themeColor="text2" w:themeTint="99"/>
        </w:rPr>
        <w:br w:type="page"/>
      </w:r>
    </w:p>
    <w:p w:rsidR="00A87613" w:rsidRPr="006744B0" w:rsidRDefault="00A87613" w:rsidP="00A87613">
      <w:pPr>
        <w:rPr>
          <w:rFonts w:cs="Arial"/>
          <w:b/>
          <w:bCs/>
          <w:color w:val="548DD4" w:themeColor="text2" w:themeTint="99"/>
          <w:u w:val="single"/>
        </w:rPr>
      </w:pPr>
      <w:r w:rsidRPr="006744B0">
        <w:rPr>
          <w:rFonts w:cs="Arial"/>
          <w:b/>
          <w:bCs/>
          <w:color w:val="548DD4" w:themeColor="text2" w:themeTint="99"/>
          <w:u w:val="single"/>
        </w:rPr>
        <w:lastRenderedPageBreak/>
        <w:t xml:space="preserve">IRM Report #6 - MTDC Total by Entity and Fund Source – Including Interim Rate Impact  </w:t>
      </w:r>
    </w:p>
    <w:p w:rsidR="004B25B8" w:rsidRDefault="004B25B8" w:rsidP="00F67886">
      <w:pPr>
        <w:rPr>
          <w:bCs/>
          <w:noProof/>
          <w:szCs w:val="20"/>
        </w:rPr>
      </w:pPr>
    </w:p>
    <w:p w:rsidR="00F67886" w:rsidRPr="006744B0" w:rsidRDefault="00F67886" w:rsidP="00F67886">
      <w:pPr>
        <w:rPr>
          <w:bCs/>
          <w:i/>
          <w:noProof/>
          <w:szCs w:val="20"/>
        </w:rPr>
      </w:pPr>
      <w:r w:rsidRPr="00233CED">
        <w:rPr>
          <w:b/>
          <w:bCs/>
          <w:noProof/>
          <w:szCs w:val="20"/>
        </w:rPr>
        <w:t>This report provides information at the entity</w:t>
      </w:r>
      <w:r w:rsidR="00233CED">
        <w:rPr>
          <w:b/>
          <w:bCs/>
          <w:noProof/>
          <w:szCs w:val="20"/>
        </w:rPr>
        <w:t xml:space="preserve"> level</w:t>
      </w:r>
      <w:r w:rsidR="004B25B8" w:rsidRPr="00233CED">
        <w:rPr>
          <w:b/>
          <w:bCs/>
          <w:noProof/>
          <w:szCs w:val="20"/>
        </w:rPr>
        <w:t>,</w:t>
      </w:r>
      <w:r w:rsidR="00233CED">
        <w:rPr>
          <w:b/>
          <w:bCs/>
          <w:noProof/>
          <w:szCs w:val="20"/>
        </w:rPr>
        <w:t xml:space="preserve"> by</w:t>
      </w:r>
      <w:r w:rsidR="004B25B8" w:rsidRPr="00233CED">
        <w:rPr>
          <w:b/>
          <w:bCs/>
          <w:noProof/>
          <w:szCs w:val="20"/>
        </w:rPr>
        <w:t xml:space="preserve"> rate type</w:t>
      </w:r>
      <w:r w:rsidR="00935E4E" w:rsidRPr="00233CED">
        <w:rPr>
          <w:b/>
          <w:bCs/>
          <w:noProof/>
          <w:szCs w:val="20"/>
        </w:rPr>
        <w:t xml:space="preserve"> and fund source</w:t>
      </w:r>
      <w:r w:rsidR="00233CED">
        <w:rPr>
          <w:b/>
          <w:bCs/>
          <w:noProof/>
          <w:szCs w:val="20"/>
        </w:rPr>
        <w:t xml:space="preserve">, on the impact of an </w:t>
      </w:r>
      <w:r w:rsidRPr="00233CED">
        <w:rPr>
          <w:b/>
          <w:bCs/>
          <w:noProof/>
          <w:szCs w:val="20"/>
        </w:rPr>
        <w:t>interim Benefit Rate change on MTDC as well as a forecast of how such a change might impact the overall MTDC estimate for the year</w:t>
      </w:r>
      <w:r>
        <w:rPr>
          <w:bCs/>
          <w:noProof/>
          <w:szCs w:val="20"/>
        </w:rPr>
        <w:t>.  The IR Forecast for MTDC includes interim benefit rates applied to actuals plus interim benefit rates appl</w:t>
      </w:r>
      <w:r w:rsidR="004B25B8">
        <w:rPr>
          <w:bCs/>
          <w:noProof/>
          <w:szCs w:val="20"/>
        </w:rPr>
        <w:t>ied to Working Plan Remaining</w:t>
      </w:r>
      <w:r>
        <w:rPr>
          <w:bCs/>
          <w:noProof/>
          <w:szCs w:val="20"/>
        </w:rPr>
        <w:t xml:space="preserve">.  In the example below, there has been no </w:t>
      </w:r>
      <w:r w:rsidR="004B25B8">
        <w:rPr>
          <w:bCs/>
          <w:noProof/>
          <w:szCs w:val="20"/>
        </w:rPr>
        <w:t>change</w:t>
      </w:r>
      <w:r>
        <w:rPr>
          <w:bCs/>
          <w:noProof/>
          <w:szCs w:val="20"/>
        </w:rPr>
        <w:t xml:space="preserve"> in the interim benefit rate </w:t>
      </w:r>
      <w:r w:rsidR="00727EC6">
        <w:rPr>
          <w:bCs/>
          <w:noProof/>
          <w:szCs w:val="20"/>
        </w:rPr>
        <w:t xml:space="preserve">and therefore, no impact.  </w:t>
      </w:r>
      <w:r w:rsidR="00727EC6" w:rsidRPr="006744B0">
        <w:rPr>
          <w:bCs/>
          <w:i/>
          <w:noProof/>
          <w:szCs w:val="20"/>
        </w:rPr>
        <w:t>(The example,</w:t>
      </w:r>
      <w:r w:rsidRPr="006744B0">
        <w:rPr>
          <w:bCs/>
          <w:i/>
          <w:noProof/>
          <w:szCs w:val="20"/>
        </w:rPr>
        <w:t xml:space="preserve"> with</w:t>
      </w:r>
      <w:r w:rsidR="00727EC6" w:rsidRPr="006744B0">
        <w:rPr>
          <w:bCs/>
          <w:i/>
          <w:noProof/>
          <w:szCs w:val="20"/>
        </w:rPr>
        <w:t xml:space="preserve"> Divison</w:t>
      </w:r>
      <w:r w:rsidRPr="006744B0">
        <w:rPr>
          <w:bCs/>
          <w:i/>
          <w:noProof/>
          <w:szCs w:val="20"/>
        </w:rPr>
        <w:t xml:space="preserve"> “19” </w:t>
      </w:r>
      <w:r w:rsidR="00727EC6" w:rsidRPr="006744B0">
        <w:rPr>
          <w:bCs/>
          <w:i/>
          <w:noProof/>
          <w:szCs w:val="20"/>
        </w:rPr>
        <w:t xml:space="preserve">was continued; </w:t>
      </w:r>
      <w:r w:rsidRPr="006744B0">
        <w:rPr>
          <w:bCs/>
          <w:i/>
          <w:noProof/>
          <w:szCs w:val="20"/>
        </w:rPr>
        <w:t>this report would typcally be run with the entity prompt rather than the account prompt.)</w:t>
      </w:r>
    </w:p>
    <w:p w:rsidR="00F67886" w:rsidRDefault="00F67886" w:rsidP="00F67886">
      <w:pPr>
        <w:rPr>
          <w:bCs/>
          <w:noProof/>
          <w:szCs w:val="20"/>
        </w:rPr>
      </w:pPr>
    </w:p>
    <w:p w:rsidR="00F67886" w:rsidRDefault="00F67886" w:rsidP="00F67886">
      <w:pPr>
        <w:rPr>
          <w:bCs/>
          <w:noProof/>
          <w:szCs w:val="20"/>
        </w:rPr>
      </w:pPr>
      <w:r>
        <w:rPr>
          <w:bCs/>
          <w:noProof/>
          <w:szCs w:val="20"/>
        </w:rPr>
        <w:t>User prompts for running t</w:t>
      </w:r>
      <w:r w:rsidRPr="00A94E17">
        <w:rPr>
          <w:bCs/>
          <w:noProof/>
          <w:szCs w:val="20"/>
        </w:rPr>
        <w:t xml:space="preserve">his report </w:t>
      </w:r>
      <w:r w:rsidR="006744B0">
        <w:rPr>
          <w:bCs/>
          <w:noProof/>
          <w:szCs w:val="20"/>
        </w:rPr>
        <w:t>require</w:t>
      </w:r>
      <w:r>
        <w:rPr>
          <w:bCs/>
          <w:noProof/>
          <w:szCs w:val="20"/>
        </w:rPr>
        <w:t xml:space="preserve"> fiscal year and one other selection.  Typically users select information entity, but can also select or narrow down by account, </w:t>
      </w:r>
      <w:r w:rsidR="005D667F">
        <w:rPr>
          <w:bCs/>
          <w:noProof/>
          <w:szCs w:val="20"/>
        </w:rPr>
        <w:t xml:space="preserve">division code, </w:t>
      </w:r>
      <w:r>
        <w:rPr>
          <w:bCs/>
          <w:noProof/>
          <w:szCs w:val="20"/>
        </w:rPr>
        <w:t xml:space="preserve">contract, fund source, and rate type.  </w:t>
      </w:r>
    </w:p>
    <w:p w:rsidR="00A87613" w:rsidRDefault="00A87613" w:rsidP="00A87613">
      <w:pPr>
        <w:rPr>
          <w:rFonts w:cs="Arial"/>
          <w:b/>
          <w:bCs/>
          <w:color w:val="548DD4" w:themeColor="text2" w:themeTint="99"/>
        </w:rPr>
      </w:pPr>
    </w:p>
    <w:p w:rsidR="00F67886" w:rsidRDefault="00F67886" w:rsidP="00A87613">
      <w:pPr>
        <w:rPr>
          <w:rFonts w:cs="Arial"/>
          <w:b/>
          <w:bCs/>
          <w:color w:val="548DD4" w:themeColor="text2" w:themeTint="99"/>
        </w:rPr>
      </w:pPr>
      <w:r>
        <w:rPr>
          <w:noProof/>
        </w:rPr>
        <w:drawing>
          <wp:inline distT="0" distB="0" distL="0" distR="0" wp14:anchorId="36EB1C1E" wp14:editId="1747354E">
            <wp:extent cx="5943600" cy="1549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549400"/>
                    </a:xfrm>
                    <a:prstGeom prst="rect">
                      <a:avLst/>
                    </a:prstGeom>
                  </pic:spPr>
                </pic:pic>
              </a:graphicData>
            </a:graphic>
          </wp:inline>
        </w:drawing>
      </w:r>
    </w:p>
    <w:p w:rsidR="00A87613" w:rsidRPr="00A87613" w:rsidRDefault="00A87613" w:rsidP="00A87613">
      <w:pPr>
        <w:rPr>
          <w:rFonts w:cs="Arial"/>
          <w:b/>
          <w:bCs/>
          <w:color w:val="548DD4" w:themeColor="text2" w:themeTint="99"/>
        </w:rPr>
      </w:pPr>
    </w:p>
    <w:p w:rsidR="007E4B85" w:rsidRDefault="007E4B85">
      <w:pPr>
        <w:spacing w:after="200" w:line="276" w:lineRule="auto"/>
        <w:rPr>
          <w:rFonts w:cs="Arial"/>
          <w:b/>
          <w:bCs/>
          <w:color w:val="548DD4" w:themeColor="text2" w:themeTint="99"/>
        </w:rPr>
      </w:pPr>
      <w:r>
        <w:rPr>
          <w:rFonts w:cs="Arial"/>
          <w:b/>
          <w:bCs/>
          <w:color w:val="548DD4" w:themeColor="text2" w:themeTint="99"/>
        </w:rPr>
        <w:br w:type="page"/>
      </w:r>
    </w:p>
    <w:p w:rsidR="00A87613" w:rsidRPr="006744B0" w:rsidRDefault="00A87613" w:rsidP="00A87613">
      <w:pPr>
        <w:rPr>
          <w:rFonts w:cs="Arial"/>
          <w:b/>
          <w:bCs/>
          <w:color w:val="548DD4" w:themeColor="text2" w:themeTint="99"/>
          <w:u w:val="single"/>
        </w:rPr>
      </w:pPr>
      <w:r w:rsidRPr="006744B0">
        <w:rPr>
          <w:rFonts w:cs="Arial"/>
          <w:b/>
          <w:bCs/>
          <w:color w:val="548DD4" w:themeColor="text2" w:themeTint="99"/>
          <w:u w:val="single"/>
        </w:rPr>
        <w:lastRenderedPageBreak/>
        <w:t xml:space="preserve">IRM Report #7 - MTDC Total by Entity and Normalized Fund Source – Including Interim Rate </w:t>
      </w:r>
    </w:p>
    <w:p w:rsidR="00A87613" w:rsidRDefault="00A87613" w:rsidP="00A87613">
      <w:pPr>
        <w:rPr>
          <w:rFonts w:cs="Arial"/>
          <w:b/>
          <w:bCs/>
          <w:color w:val="548DD4" w:themeColor="text2" w:themeTint="99"/>
        </w:rPr>
      </w:pPr>
      <w:r w:rsidRPr="006744B0">
        <w:rPr>
          <w:rFonts w:cs="Arial"/>
          <w:b/>
          <w:bCs/>
          <w:color w:val="548DD4" w:themeColor="text2" w:themeTint="99"/>
          <w:u w:val="single"/>
        </w:rPr>
        <w:t>Impact</w:t>
      </w:r>
      <w:r w:rsidRPr="00A87613">
        <w:rPr>
          <w:rFonts w:cs="Arial"/>
          <w:b/>
          <w:bCs/>
          <w:color w:val="548DD4" w:themeColor="text2" w:themeTint="99"/>
        </w:rPr>
        <w:t xml:space="preserve">  </w:t>
      </w:r>
    </w:p>
    <w:p w:rsidR="004B25B8" w:rsidRDefault="004B25B8" w:rsidP="00727EC6">
      <w:pPr>
        <w:rPr>
          <w:bCs/>
          <w:noProof/>
          <w:szCs w:val="20"/>
        </w:rPr>
      </w:pPr>
    </w:p>
    <w:p w:rsidR="00727EC6" w:rsidRPr="006744B0" w:rsidRDefault="00727EC6" w:rsidP="00727EC6">
      <w:pPr>
        <w:rPr>
          <w:bCs/>
          <w:i/>
          <w:noProof/>
          <w:szCs w:val="20"/>
        </w:rPr>
      </w:pPr>
      <w:r w:rsidRPr="00233CED">
        <w:rPr>
          <w:b/>
          <w:bCs/>
          <w:noProof/>
          <w:szCs w:val="20"/>
        </w:rPr>
        <w:t>This report provides information at the entity</w:t>
      </w:r>
      <w:r w:rsidR="00233CED">
        <w:rPr>
          <w:b/>
          <w:bCs/>
          <w:noProof/>
          <w:szCs w:val="20"/>
        </w:rPr>
        <w:t xml:space="preserve"> level</w:t>
      </w:r>
      <w:r w:rsidR="00E82D42" w:rsidRPr="00233CED">
        <w:rPr>
          <w:b/>
          <w:bCs/>
          <w:noProof/>
          <w:szCs w:val="20"/>
        </w:rPr>
        <w:t xml:space="preserve">, </w:t>
      </w:r>
      <w:r w:rsidR="00233CED">
        <w:rPr>
          <w:b/>
          <w:bCs/>
          <w:noProof/>
          <w:szCs w:val="20"/>
        </w:rPr>
        <w:t xml:space="preserve">by </w:t>
      </w:r>
      <w:r w:rsidR="00E82D42" w:rsidRPr="00233CED">
        <w:rPr>
          <w:b/>
          <w:bCs/>
          <w:noProof/>
          <w:szCs w:val="20"/>
        </w:rPr>
        <w:t>rate type</w:t>
      </w:r>
      <w:r w:rsidRPr="00233CED">
        <w:rPr>
          <w:b/>
          <w:bCs/>
          <w:noProof/>
          <w:szCs w:val="20"/>
        </w:rPr>
        <w:t xml:space="preserve"> and </w:t>
      </w:r>
      <w:r w:rsidR="00F046DC" w:rsidRPr="00233CED">
        <w:rPr>
          <w:b/>
          <w:bCs/>
          <w:noProof/>
          <w:szCs w:val="20"/>
        </w:rPr>
        <w:t xml:space="preserve">normalized </w:t>
      </w:r>
      <w:r w:rsidRPr="00233CED">
        <w:rPr>
          <w:b/>
          <w:bCs/>
          <w:noProof/>
          <w:szCs w:val="20"/>
        </w:rPr>
        <w:t>fund source</w:t>
      </w:r>
      <w:r w:rsidR="00233CED">
        <w:rPr>
          <w:b/>
          <w:bCs/>
          <w:noProof/>
          <w:szCs w:val="20"/>
        </w:rPr>
        <w:t>,</w:t>
      </w:r>
      <w:r w:rsidRPr="00233CED">
        <w:rPr>
          <w:b/>
          <w:bCs/>
          <w:noProof/>
          <w:szCs w:val="20"/>
        </w:rPr>
        <w:t xml:space="preserve"> on the impact of an interim Benefit Rate change on MTDC as well as a forecast of how such a change might impact the overall MTDC estimate for the year.</w:t>
      </w:r>
      <w:r>
        <w:rPr>
          <w:bCs/>
          <w:noProof/>
          <w:szCs w:val="20"/>
        </w:rPr>
        <w:t xml:space="preserve">  The IR Forecast for MTDC includes interim benefit rates applied to actuals plus interim benefit rates appl</w:t>
      </w:r>
      <w:r w:rsidR="00E82D42">
        <w:rPr>
          <w:bCs/>
          <w:noProof/>
          <w:szCs w:val="20"/>
        </w:rPr>
        <w:t>ied to Working Plan Remaining</w:t>
      </w:r>
      <w:r>
        <w:rPr>
          <w:bCs/>
          <w:noProof/>
          <w:szCs w:val="20"/>
        </w:rPr>
        <w:t>.  In the example below,</w:t>
      </w:r>
      <w:r w:rsidR="00E82D42">
        <w:rPr>
          <w:bCs/>
          <w:noProof/>
          <w:szCs w:val="20"/>
        </w:rPr>
        <w:t xml:space="preserve"> there has been no change</w:t>
      </w:r>
      <w:r>
        <w:rPr>
          <w:bCs/>
          <w:noProof/>
          <w:szCs w:val="20"/>
        </w:rPr>
        <w:t xml:space="preserve"> in the interim benefit rate and therefore, no impact.  </w:t>
      </w:r>
      <w:r w:rsidRPr="006744B0">
        <w:rPr>
          <w:bCs/>
          <w:i/>
          <w:noProof/>
          <w:szCs w:val="20"/>
        </w:rPr>
        <w:t>(The example, with Division“19” was continued; this report would typcally be run with the entity prompt rather than the account prompt.)</w:t>
      </w:r>
    </w:p>
    <w:p w:rsidR="00727EC6" w:rsidRDefault="00727EC6" w:rsidP="00727EC6">
      <w:pPr>
        <w:rPr>
          <w:bCs/>
          <w:noProof/>
          <w:szCs w:val="20"/>
        </w:rPr>
      </w:pPr>
    </w:p>
    <w:p w:rsidR="00727EC6" w:rsidRDefault="00727EC6" w:rsidP="00727EC6">
      <w:pPr>
        <w:rPr>
          <w:bCs/>
          <w:noProof/>
          <w:szCs w:val="20"/>
        </w:rPr>
      </w:pPr>
      <w:r>
        <w:rPr>
          <w:bCs/>
          <w:noProof/>
          <w:szCs w:val="20"/>
        </w:rPr>
        <w:t>User prompts for running t</w:t>
      </w:r>
      <w:r w:rsidRPr="00A94E17">
        <w:rPr>
          <w:bCs/>
          <w:noProof/>
          <w:szCs w:val="20"/>
        </w:rPr>
        <w:t xml:space="preserve">his report </w:t>
      </w:r>
      <w:r w:rsidR="006744B0">
        <w:rPr>
          <w:bCs/>
          <w:noProof/>
          <w:szCs w:val="20"/>
        </w:rPr>
        <w:t>require</w:t>
      </w:r>
      <w:r>
        <w:rPr>
          <w:bCs/>
          <w:noProof/>
          <w:szCs w:val="20"/>
        </w:rPr>
        <w:t xml:space="preserve"> fiscal year and one other selection.  Typically users select information entity, but can also select or narrow down by account, division code, contract, fund source, and rate type.  </w:t>
      </w:r>
    </w:p>
    <w:p w:rsidR="00A87613" w:rsidRDefault="00A87613" w:rsidP="00A87613">
      <w:pPr>
        <w:rPr>
          <w:rFonts w:cs="Arial"/>
          <w:b/>
          <w:bCs/>
          <w:color w:val="548DD4" w:themeColor="text2" w:themeTint="99"/>
        </w:rPr>
      </w:pPr>
    </w:p>
    <w:p w:rsidR="00727EC6" w:rsidRDefault="00727EC6" w:rsidP="00A87613">
      <w:pPr>
        <w:rPr>
          <w:rFonts w:cs="Arial"/>
          <w:b/>
          <w:bCs/>
          <w:color w:val="548DD4" w:themeColor="text2" w:themeTint="99"/>
        </w:rPr>
      </w:pPr>
      <w:r>
        <w:rPr>
          <w:noProof/>
        </w:rPr>
        <w:drawing>
          <wp:inline distT="0" distB="0" distL="0" distR="0" wp14:anchorId="128784E8" wp14:editId="1E3448E6">
            <wp:extent cx="5943600" cy="18116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811655"/>
                    </a:xfrm>
                    <a:prstGeom prst="rect">
                      <a:avLst/>
                    </a:prstGeom>
                  </pic:spPr>
                </pic:pic>
              </a:graphicData>
            </a:graphic>
          </wp:inline>
        </w:drawing>
      </w:r>
    </w:p>
    <w:p w:rsidR="00727EC6" w:rsidRDefault="00727EC6" w:rsidP="00A87613">
      <w:pPr>
        <w:rPr>
          <w:rFonts w:cs="Arial"/>
          <w:b/>
          <w:bCs/>
          <w:color w:val="548DD4" w:themeColor="text2" w:themeTint="99"/>
        </w:rPr>
      </w:pPr>
    </w:p>
    <w:p w:rsidR="00A87613" w:rsidRPr="00A87613" w:rsidRDefault="00A87613" w:rsidP="00A87613">
      <w:pPr>
        <w:rPr>
          <w:rFonts w:cs="Arial"/>
          <w:b/>
          <w:bCs/>
          <w:color w:val="548DD4" w:themeColor="text2" w:themeTint="99"/>
        </w:rPr>
      </w:pPr>
    </w:p>
    <w:p w:rsidR="00307BC5" w:rsidRDefault="00307BC5" w:rsidP="00A87613">
      <w:pPr>
        <w:rPr>
          <w:rFonts w:cs="Arial"/>
          <w:b/>
          <w:bCs/>
          <w:color w:val="548DD4" w:themeColor="text2" w:themeTint="99"/>
        </w:rPr>
      </w:pPr>
    </w:p>
    <w:p w:rsidR="00307BC5" w:rsidRDefault="00307BC5">
      <w:pPr>
        <w:spacing w:after="200" w:line="276" w:lineRule="auto"/>
        <w:rPr>
          <w:rFonts w:cs="Arial"/>
          <w:b/>
          <w:bCs/>
          <w:color w:val="548DD4" w:themeColor="text2" w:themeTint="99"/>
        </w:rPr>
      </w:pPr>
      <w:r>
        <w:rPr>
          <w:rFonts w:cs="Arial"/>
          <w:b/>
          <w:bCs/>
          <w:color w:val="548DD4" w:themeColor="text2" w:themeTint="99"/>
        </w:rPr>
        <w:br w:type="page"/>
      </w:r>
    </w:p>
    <w:p w:rsidR="00A87613" w:rsidRPr="00813FFC" w:rsidRDefault="00A87613" w:rsidP="00A87613">
      <w:pPr>
        <w:rPr>
          <w:rFonts w:cs="Arial"/>
          <w:b/>
          <w:bCs/>
          <w:color w:val="548DD4" w:themeColor="text2" w:themeTint="99"/>
          <w:u w:val="single"/>
        </w:rPr>
      </w:pPr>
      <w:r w:rsidRPr="00813FFC">
        <w:rPr>
          <w:rFonts w:cs="Arial"/>
          <w:b/>
          <w:bCs/>
          <w:color w:val="548DD4" w:themeColor="text2" w:themeTint="99"/>
          <w:u w:val="single"/>
        </w:rPr>
        <w:lastRenderedPageBreak/>
        <w:t xml:space="preserve">IRM Report #8 - Forecast Expense Report Summary by Expense Class Interim Planning Rates  </w:t>
      </w:r>
    </w:p>
    <w:p w:rsidR="00465A1E" w:rsidRDefault="00465A1E" w:rsidP="00307BC5">
      <w:pPr>
        <w:rPr>
          <w:bCs/>
          <w:noProof/>
          <w:szCs w:val="20"/>
        </w:rPr>
      </w:pPr>
    </w:p>
    <w:p w:rsidR="00307BC5" w:rsidRDefault="00307BC5" w:rsidP="00307BC5">
      <w:pPr>
        <w:rPr>
          <w:bCs/>
          <w:noProof/>
          <w:szCs w:val="20"/>
        </w:rPr>
      </w:pPr>
      <w:r w:rsidRPr="00233CED">
        <w:rPr>
          <w:b/>
          <w:bCs/>
          <w:noProof/>
          <w:szCs w:val="20"/>
        </w:rPr>
        <w:t xml:space="preserve">This report provides a forecast of how </w:t>
      </w:r>
      <w:r w:rsidR="00491480" w:rsidRPr="00233CED">
        <w:rPr>
          <w:b/>
          <w:bCs/>
          <w:noProof/>
          <w:szCs w:val="20"/>
        </w:rPr>
        <w:t xml:space="preserve">changes in </w:t>
      </w:r>
      <w:r w:rsidR="00233CED" w:rsidRPr="00233CED">
        <w:rPr>
          <w:b/>
          <w:bCs/>
          <w:noProof/>
          <w:szCs w:val="20"/>
        </w:rPr>
        <w:t xml:space="preserve">all </w:t>
      </w:r>
      <w:r w:rsidRPr="00233CED">
        <w:rPr>
          <w:b/>
          <w:bCs/>
          <w:noProof/>
          <w:szCs w:val="20"/>
        </w:rPr>
        <w:t>interim rate</w:t>
      </w:r>
      <w:r w:rsidR="00491480" w:rsidRPr="00233CED">
        <w:rPr>
          <w:b/>
          <w:bCs/>
          <w:noProof/>
          <w:szCs w:val="20"/>
        </w:rPr>
        <w:t>s</w:t>
      </w:r>
      <w:r w:rsidRPr="00233CED">
        <w:rPr>
          <w:b/>
          <w:bCs/>
          <w:noProof/>
          <w:szCs w:val="20"/>
        </w:rPr>
        <w:t xml:space="preserve"> might impact</w:t>
      </w:r>
      <w:r w:rsidR="00FE2DC5" w:rsidRPr="00233CED">
        <w:rPr>
          <w:b/>
          <w:bCs/>
          <w:noProof/>
          <w:szCs w:val="20"/>
        </w:rPr>
        <w:t xml:space="preserve"> at an expense class level</w:t>
      </w:r>
      <w:r w:rsidR="00233CED">
        <w:rPr>
          <w:b/>
          <w:bCs/>
          <w:noProof/>
          <w:szCs w:val="20"/>
        </w:rPr>
        <w:t>.</w:t>
      </w:r>
      <w:r w:rsidR="00233CED">
        <w:rPr>
          <w:bCs/>
          <w:noProof/>
          <w:szCs w:val="20"/>
        </w:rPr>
        <w:t xml:space="preserve">  This includes</w:t>
      </w:r>
      <w:r>
        <w:rPr>
          <w:bCs/>
          <w:noProof/>
          <w:szCs w:val="20"/>
        </w:rPr>
        <w:t xml:space="preserve"> the overall Forecast Funds Available</w:t>
      </w:r>
      <w:r w:rsidR="00F74ACF">
        <w:rPr>
          <w:bCs/>
          <w:noProof/>
          <w:szCs w:val="20"/>
        </w:rPr>
        <w:t xml:space="preserve"> at the Interim Rate</w:t>
      </w:r>
      <w:r>
        <w:rPr>
          <w:bCs/>
          <w:noProof/>
          <w:szCs w:val="20"/>
        </w:rPr>
        <w:t xml:space="preserve"> (IF</w:t>
      </w:r>
      <w:r w:rsidR="00465A1E">
        <w:rPr>
          <w:bCs/>
          <w:noProof/>
          <w:szCs w:val="20"/>
        </w:rPr>
        <w:t>AS Budget vs.</w:t>
      </w:r>
      <w:r w:rsidR="00F74ACF">
        <w:rPr>
          <w:bCs/>
          <w:noProof/>
          <w:szCs w:val="20"/>
        </w:rPr>
        <w:t xml:space="preserve">IR </w:t>
      </w:r>
      <w:r w:rsidR="00465A1E">
        <w:rPr>
          <w:bCs/>
          <w:noProof/>
          <w:szCs w:val="20"/>
        </w:rPr>
        <w:t xml:space="preserve"> Forecast) </w:t>
      </w:r>
      <w:r>
        <w:rPr>
          <w:bCs/>
          <w:noProof/>
          <w:szCs w:val="20"/>
        </w:rPr>
        <w:t>and the difference between the Forecast based on the Provisional Rates and the Forecast based in the Interim Rates</w:t>
      </w:r>
      <w:r w:rsidR="00491480">
        <w:rPr>
          <w:bCs/>
          <w:noProof/>
          <w:szCs w:val="20"/>
        </w:rPr>
        <w:t>,</w:t>
      </w:r>
      <w:r w:rsidR="00F74ACF">
        <w:rPr>
          <w:bCs/>
          <w:noProof/>
          <w:szCs w:val="20"/>
        </w:rPr>
        <w:t>to  show</w:t>
      </w:r>
      <w:r w:rsidR="00491480">
        <w:rPr>
          <w:bCs/>
          <w:noProof/>
          <w:szCs w:val="20"/>
        </w:rPr>
        <w:t xml:space="preserve"> the impact of the rate change</w:t>
      </w:r>
      <w:r>
        <w:rPr>
          <w:bCs/>
          <w:noProof/>
          <w:szCs w:val="20"/>
        </w:rPr>
        <w:t xml:space="preserve">. </w:t>
      </w:r>
      <w:r w:rsidR="00F74ACF">
        <w:rPr>
          <w:bCs/>
          <w:noProof/>
          <w:szCs w:val="20"/>
        </w:rPr>
        <w:t xml:space="preserve"> The report provides </w:t>
      </w:r>
      <w:r w:rsidR="006C579D">
        <w:rPr>
          <w:bCs/>
          <w:noProof/>
          <w:szCs w:val="20"/>
        </w:rPr>
        <w:t xml:space="preserve">a summary at the expense class level of the </w:t>
      </w:r>
      <w:r w:rsidR="00F74ACF">
        <w:rPr>
          <w:bCs/>
          <w:noProof/>
          <w:szCs w:val="20"/>
        </w:rPr>
        <w:t xml:space="preserve">overall </w:t>
      </w:r>
      <w:r w:rsidR="006C579D">
        <w:rPr>
          <w:bCs/>
          <w:noProof/>
          <w:szCs w:val="20"/>
        </w:rPr>
        <w:t>selection and account key detail at the expense class le</w:t>
      </w:r>
      <w:r w:rsidR="00F74ACF">
        <w:rPr>
          <w:bCs/>
          <w:noProof/>
          <w:szCs w:val="20"/>
        </w:rPr>
        <w:t>vel for all they keys within that</w:t>
      </w:r>
      <w:r w:rsidR="006C579D">
        <w:rPr>
          <w:bCs/>
          <w:noProof/>
          <w:szCs w:val="20"/>
        </w:rPr>
        <w:t xml:space="preserve"> selection. </w:t>
      </w:r>
      <w:r>
        <w:rPr>
          <w:bCs/>
          <w:noProof/>
          <w:szCs w:val="20"/>
        </w:rPr>
        <w:t xml:space="preserve"> In the example below,</w:t>
      </w:r>
      <w:r w:rsidR="00465A1E">
        <w:rPr>
          <w:bCs/>
          <w:noProof/>
          <w:szCs w:val="20"/>
        </w:rPr>
        <w:t xml:space="preserve"> there has been no change</w:t>
      </w:r>
      <w:r>
        <w:rPr>
          <w:bCs/>
          <w:noProof/>
          <w:szCs w:val="20"/>
        </w:rPr>
        <w:t xml:space="preserve"> in the interim rates and therefore, no impact.  </w:t>
      </w:r>
    </w:p>
    <w:p w:rsidR="001C6F63" w:rsidRDefault="001C6F63" w:rsidP="00307BC5">
      <w:pPr>
        <w:rPr>
          <w:bCs/>
          <w:noProof/>
          <w:szCs w:val="20"/>
        </w:rPr>
      </w:pPr>
    </w:p>
    <w:p w:rsidR="001C6F63" w:rsidRDefault="00813FFC" w:rsidP="00307BC5">
      <w:pPr>
        <w:rPr>
          <w:bCs/>
          <w:noProof/>
          <w:szCs w:val="20"/>
        </w:rPr>
      </w:pPr>
      <w:r w:rsidRPr="00465A1E">
        <w:rPr>
          <w:b/>
          <w:bCs/>
          <w:noProof/>
          <w:color w:val="548DD4" w:themeColor="text2" w:themeTint="99"/>
          <w:szCs w:val="20"/>
        </w:rPr>
        <w:t>NOTE</w:t>
      </w:r>
      <w:r>
        <w:rPr>
          <w:bCs/>
          <w:noProof/>
          <w:szCs w:val="20"/>
        </w:rPr>
        <w:t xml:space="preserve"> - </w:t>
      </w:r>
      <w:r w:rsidR="001C6F63">
        <w:rPr>
          <w:bCs/>
          <w:noProof/>
          <w:szCs w:val="20"/>
        </w:rPr>
        <w:t>This report is also used by Project A</w:t>
      </w:r>
      <w:r w:rsidR="001C6F63" w:rsidRPr="001C6F63">
        <w:rPr>
          <w:bCs/>
          <w:noProof/>
          <w:szCs w:val="20"/>
        </w:rPr>
        <w:t xml:space="preserve">ccounting </w:t>
      </w:r>
      <w:r w:rsidR="001C6F63">
        <w:rPr>
          <w:bCs/>
          <w:noProof/>
          <w:szCs w:val="20"/>
        </w:rPr>
        <w:t>when you begin to</w:t>
      </w:r>
      <w:r w:rsidR="001C6F63" w:rsidRPr="001C6F63">
        <w:rPr>
          <w:bCs/>
          <w:noProof/>
          <w:szCs w:val="20"/>
        </w:rPr>
        <w:t xml:space="preserve"> clo</w:t>
      </w:r>
      <w:r w:rsidR="00C1392C">
        <w:rPr>
          <w:bCs/>
          <w:noProof/>
          <w:szCs w:val="20"/>
        </w:rPr>
        <w:t xml:space="preserve">se out an award (WRAP status) </w:t>
      </w:r>
      <w:r w:rsidR="001C6F63" w:rsidRPr="001C6F63">
        <w:rPr>
          <w:bCs/>
          <w:noProof/>
          <w:szCs w:val="20"/>
        </w:rPr>
        <w:t>to show that it is not</w:t>
      </w:r>
      <w:r w:rsidR="00C1392C">
        <w:rPr>
          <w:bCs/>
          <w:noProof/>
          <w:szCs w:val="20"/>
        </w:rPr>
        <w:t xml:space="preserve"> or will not be</w:t>
      </w:r>
      <w:r w:rsidR="001C6F63" w:rsidRPr="001C6F63">
        <w:rPr>
          <w:bCs/>
          <w:noProof/>
          <w:szCs w:val="20"/>
        </w:rPr>
        <w:t xml:space="preserve"> overspent</w:t>
      </w:r>
      <w:r w:rsidR="006744B0">
        <w:rPr>
          <w:bCs/>
          <w:noProof/>
          <w:szCs w:val="20"/>
        </w:rPr>
        <w:t xml:space="preserve"> </w:t>
      </w:r>
      <w:r w:rsidR="00F74ACF">
        <w:rPr>
          <w:bCs/>
          <w:noProof/>
          <w:szCs w:val="20"/>
        </w:rPr>
        <w:t xml:space="preserve">based on </w:t>
      </w:r>
      <w:r w:rsidR="006744B0">
        <w:rPr>
          <w:bCs/>
          <w:noProof/>
          <w:szCs w:val="20"/>
        </w:rPr>
        <w:t>interim rates</w:t>
      </w:r>
      <w:r w:rsidR="00465A1E">
        <w:rPr>
          <w:bCs/>
          <w:noProof/>
          <w:szCs w:val="20"/>
        </w:rPr>
        <w:t>,</w:t>
      </w:r>
      <w:r w:rsidR="006744B0">
        <w:rPr>
          <w:bCs/>
          <w:noProof/>
          <w:szCs w:val="20"/>
        </w:rPr>
        <w:t xml:space="preserve"> </w:t>
      </w:r>
      <w:r w:rsidR="00465A1E">
        <w:rPr>
          <w:bCs/>
          <w:noProof/>
          <w:szCs w:val="20"/>
        </w:rPr>
        <w:t>insu</w:t>
      </w:r>
      <w:r w:rsidR="006744B0">
        <w:rPr>
          <w:bCs/>
          <w:noProof/>
          <w:szCs w:val="20"/>
        </w:rPr>
        <w:t>ring it’s not overspent</w:t>
      </w:r>
      <w:r w:rsidR="00465A1E">
        <w:rPr>
          <w:bCs/>
          <w:noProof/>
          <w:szCs w:val="20"/>
        </w:rPr>
        <w:t xml:space="preserve"> and there is no</w:t>
      </w:r>
      <w:r w:rsidR="00C1392C">
        <w:rPr>
          <w:bCs/>
          <w:noProof/>
          <w:szCs w:val="20"/>
        </w:rPr>
        <w:t xml:space="preserve"> forecast expenses.</w:t>
      </w:r>
    </w:p>
    <w:p w:rsidR="00307BC5" w:rsidRDefault="00307BC5" w:rsidP="00307BC5">
      <w:pPr>
        <w:rPr>
          <w:bCs/>
          <w:noProof/>
          <w:szCs w:val="20"/>
        </w:rPr>
      </w:pPr>
    </w:p>
    <w:p w:rsidR="00307BC5" w:rsidRDefault="00307BC5" w:rsidP="00307BC5">
      <w:pPr>
        <w:rPr>
          <w:bCs/>
          <w:noProof/>
          <w:szCs w:val="20"/>
        </w:rPr>
      </w:pPr>
      <w:r>
        <w:rPr>
          <w:bCs/>
          <w:noProof/>
          <w:szCs w:val="20"/>
        </w:rPr>
        <w:t>User prompts for running t</w:t>
      </w:r>
      <w:r w:rsidRPr="00A94E17">
        <w:rPr>
          <w:bCs/>
          <w:noProof/>
          <w:szCs w:val="20"/>
        </w:rPr>
        <w:t xml:space="preserve">his report </w:t>
      </w:r>
      <w:r w:rsidR="00813FFC">
        <w:rPr>
          <w:bCs/>
          <w:noProof/>
          <w:szCs w:val="20"/>
        </w:rPr>
        <w:t>require</w:t>
      </w:r>
      <w:r>
        <w:rPr>
          <w:bCs/>
          <w:noProof/>
          <w:szCs w:val="20"/>
        </w:rPr>
        <w:t xml:space="preserve"> fiscal year and one other selection.  Typically users select information entity, but can also select or narrow down by account, division code, contract, fund source, and rate type.  </w:t>
      </w:r>
      <w:r w:rsidR="00713E27">
        <w:rPr>
          <w:bCs/>
          <w:noProof/>
          <w:szCs w:val="20"/>
        </w:rPr>
        <w:t xml:space="preserve">(While </w:t>
      </w:r>
      <w:r w:rsidR="00491480">
        <w:rPr>
          <w:bCs/>
          <w:noProof/>
          <w:szCs w:val="20"/>
        </w:rPr>
        <w:t xml:space="preserve"> account selection can be narrowed by Acct Status, be aware that selecting only active keys elminates information for keys that had been active earlier in the year</w:t>
      </w:r>
      <w:r w:rsidR="00713E27">
        <w:rPr>
          <w:bCs/>
          <w:noProof/>
          <w:szCs w:val="20"/>
        </w:rPr>
        <w:t xml:space="preserve"> but are no longer active</w:t>
      </w:r>
      <w:r w:rsidR="00491480">
        <w:rPr>
          <w:bCs/>
          <w:noProof/>
          <w:szCs w:val="20"/>
        </w:rPr>
        <w:t>.)</w:t>
      </w:r>
    </w:p>
    <w:p w:rsidR="00A87613" w:rsidRDefault="00A87613" w:rsidP="00A87613">
      <w:pPr>
        <w:rPr>
          <w:rFonts w:cs="Arial"/>
          <w:b/>
          <w:bCs/>
          <w:color w:val="548DD4" w:themeColor="text2" w:themeTint="99"/>
        </w:rPr>
      </w:pPr>
    </w:p>
    <w:p w:rsidR="00307BC5" w:rsidRDefault="00307BC5" w:rsidP="00A87613">
      <w:pPr>
        <w:rPr>
          <w:rFonts w:cs="Arial"/>
          <w:b/>
          <w:bCs/>
          <w:color w:val="548DD4" w:themeColor="text2" w:themeTint="99"/>
        </w:rPr>
      </w:pPr>
      <w:r>
        <w:rPr>
          <w:noProof/>
        </w:rPr>
        <w:drawing>
          <wp:inline distT="0" distB="0" distL="0" distR="0" wp14:anchorId="76FA5A1C" wp14:editId="5F53B074">
            <wp:extent cx="5943600" cy="49415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4941570"/>
                    </a:xfrm>
                    <a:prstGeom prst="rect">
                      <a:avLst/>
                    </a:prstGeom>
                  </pic:spPr>
                </pic:pic>
              </a:graphicData>
            </a:graphic>
          </wp:inline>
        </w:drawing>
      </w:r>
    </w:p>
    <w:p w:rsidR="00A87613" w:rsidRPr="00A87613" w:rsidRDefault="00A87613" w:rsidP="00A87613">
      <w:pPr>
        <w:rPr>
          <w:rFonts w:cs="Arial"/>
          <w:b/>
          <w:bCs/>
          <w:color w:val="548DD4" w:themeColor="text2" w:themeTint="99"/>
        </w:rPr>
      </w:pPr>
    </w:p>
    <w:p w:rsidR="00307BC5" w:rsidRDefault="00307BC5">
      <w:pPr>
        <w:spacing w:after="200" w:line="276" w:lineRule="auto"/>
        <w:rPr>
          <w:rFonts w:cs="Arial"/>
          <w:b/>
          <w:bCs/>
          <w:color w:val="548DD4" w:themeColor="text2" w:themeTint="99"/>
        </w:rPr>
      </w:pPr>
      <w:r>
        <w:rPr>
          <w:rFonts w:cs="Arial"/>
          <w:b/>
          <w:bCs/>
          <w:color w:val="548DD4" w:themeColor="text2" w:themeTint="99"/>
        </w:rPr>
        <w:br w:type="page"/>
      </w:r>
    </w:p>
    <w:p w:rsidR="00A87613" w:rsidRPr="00813FFC" w:rsidRDefault="00A87613" w:rsidP="00A87613">
      <w:pPr>
        <w:rPr>
          <w:u w:val="single"/>
        </w:rPr>
      </w:pPr>
      <w:r w:rsidRPr="00813FFC">
        <w:rPr>
          <w:rFonts w:cs="Arial"/>
          <w:b/>
          <w:bCs/>
          <w:color w:val="548DD4" w:themeColor="text2" w:themeTint="99"/>
          <w:u w:val="single"/>
        </w:rPr>
        <w:lastRenderedPageBreak/>
        <w:t>IRM Report #9 - Forecast Expense Report Summary by Account Interim Planning Rates</w:t>
      </w:r>
    </w:p>
    <w:p w:rsidR="00713E27" w:rsidRDefault="00713E27" w:rsidP="008E32F3">
      <w:pPr>
        <w:rPr>
          <w:bCs/>
          <w:noProof/>
          <w:szCs w:val="20"/>
        </w:rPr>
      </w:pPr>
    </w:p>
    <w:p w:rsidR="008E32F3" w:rsidRDefault="008E32F3" w:rsidP="008E32F3">
      <w:pPr>
        <w:rPr>
          <w:bCs/>
          <w:noProof/>
          <w:szCs w:val="20"/>
        </w:rPr>
      </w:pPr>
      <w:r w:rsidRPr="00F74ACF">
        <w:rPr>
          <w:b/>
          <w:bCs/>
          <w:noProof/>
          <w:szCs w:val="20"/>
        </w:rPr>
        <w:t xml:space="preserve">This report provides a forecast of how changes in </w:t>
      </w:r>
      <w:r w:rsidR="00F74ACF">
        <w:rPr>
          <w:b/>
          <w:bCs/>
          <w:noProof/>
          <w:szCs w:val="20"/>
        </w:rPr>
        <w:t xml:space="preserve">all </w:t>
      </w:r>
      <w:r w:rsidRPr="00F74ACF">
        <w:rPr>
          <w:b/>
          <w:bCs/>
          <w:noProof/>
          <w:szCs w:val="20"/>
        </w:rPr>
        <w:t>interim rates might impact at the account key level</w:t>
      </w:r>
      <w:r w:rsidR="00F74ACF">
        <w:rPr>
          <w:b/>
          <w:bCs/>
          <w:noProof/>
          <w:szCs w:val="20"/>
        </w:rPr>
        <w:t>.</w:t>
      </w:r>
      <w:r>
        <w:rPr>
          <w:bCs/>
          <w:noProof/>
          <w:szCs w:val="20"/>
        </w:rPr>
        <w:t xml:space="preserve"> </w:t>
      </w:r>
      <w:r w:rsidR="00F74ACF">
        <w:rPr>
          <w:bCs/>
          <w:noProof/>
          <w:szCs w:val="20"/>
        </w:rPr>
        <w:t xml:space="preserve"> This includes</w:t>
      </w:r>
      <w:r>
        <w:rPr>
          <w:bCs/>
          <w:noProof/>
          <w:szCs w:val="20"/>
        </w:rPr>
        <w:t xml:space="preserve"> the overall Forecast Funds Available</w:t>
      </w:r>
      <w:r w:rsidR="00F74ACF">
        <w:rPr>
          <w:bCs/>
          <w:noProof/>
          <w:szCs w:val="20"/>
        </w:rPr>
        <w:t xml:space="preserve"> at the Interim Rate</w:t>
      </w:r>
      <w:r>
        <w:rPr>
          <w:bCs/>
          <w:noProof/>
          <w:szCs w:val="20"/>
        </w:rPr>
        <w:t xml:space="preserve"> (IFAS Bu</w:t>
      </w:r>
      <w:r w:rsidR="00713E27">
        <w:rPr>
          <w:bCs/>
          <w:noProof/>
          <w:szCs w:val="20"/>
        </w:rPr>
        <w:t>dget vs.</w:t>
      </w:r>
      <w:r w:rsidR="00F74ACF">
        <w:rPr>
          <w:bCs/>
          <w:noProof/>
          <w:szCs w:val="20"/>
        </w:rPr>
        <w:t xml:space="preserve"> IR</w:t>
      </w:r>
      <w:r w:rsidR="00713E27">
        <w:rPr>
          <w:bCs/>
          <w:noProof/>
          <w:szCs w:val="20"/>
        </w:rPr>
        <w:t xml:space="preserve"> Forecast) </w:t>
      </w:r>
      <w:r>
        <w:rPr>
          <w:bCs/>
          <w:noProof/>
          <w:szCs w:val="20"/>
        </w:rPr>
        <w:t>and the difference between the Forecast based on the Provisional Rates and the Forecast based in th</w:t>
      </w:r>
      <w:r w:rsidR="00F74ACF">
        <w:rPr>
          <w:bCs/>
          <w:noProof/>
          <w:szCs w:val="20"/>
        </w:rPr>
        <w:t>e Interim Rates to show</w:t>
      </w:r>
      <w:r>
        <w:rPr>
          <w:bCs/>
          <w:noProof/>
          <w:szCs w:val="20"/>
        </w:rPr>
        <w:t xml:space="preserve"> the impact of the rate change.  In the example below,</w:t>
      </w:r>
      <w:r w:rsidR="00713E27">
        <w:rPr>
          <w:bCs/>
          <w:noProof/>
          <w:szCs w:val="20"/>
        </w:rPr>
        <w:t xml:space="preserve"> there has been no change</w:t>
      </w:r>
      <w:r>
        <w:rPr>
          <w:bCs/>
          <w:noProof/>
          <w:szCs w:val="20"/>
        </w:rPr>
        <w:t xml:space="preserve"> in the interim rates and therefore, no impact.  </w:t>
      </w:r>
    </w:p>
    <w:p w:rsidR="008E32F3" w:rsidRDefault="008E32F3" w:rsidP="008E32F3">
      <w:pPr>
        <w:rPr>
          <w:bCs/>
          <w:noProof/>
          <w:szCs w:val="20"/>
        </w:rPr>
      </w:pPr>
    </w:p>
    <w:p w:rsidR="008E32F3" w:rsidRDefault="008E32F3" w:rsidP="008E32F3">
      <w:pPr>
        <w:rPr>
          <w:bCs/>
          <w:noProof/>
          <w:szCs w:val="20"/>
        </w:rPr>
      </w:pPr>
      <w:r>
        <w:rPr>
          <w:bCs/>
          <w:noProof/>
          <w:szCs w:val="20"/>
        </w:rPr>
        <w:t>User prompts for running t</w:t>
      </w:r>
      <w:r w:rsidRPr="00A94E17">
        <w:rPr>
          <w:bCs/>
          <w:noProof/>
          <w:szCs w:val="20"/>
        </w:rPr>
        <w:t xml:space="preserve">his report </w:t>
      </w:r>
      <w:r w:rsidR="00813FFC">
        <w:rPr>
          <w:bCs/>
          <w:noProof/>
          <w:szCs w:val="20"/>
        </w:rPr>
        <w:t>require</w:t>
      </w:r>
      <w:r>
        <w:rPr>
          <w:bCs/>
          <w:noProof/>
          <w:szCs w:val="20"/>
        </w:rPr>
        <w:t xml:space="preserve"> fiscal year and one other selection.  Typically users select information entity, but can also select or narrow down by account, division code, contract, fund so</w:t>
      </w:r>
      <w:r w:rsidR="00713E27">
        <w:rPr>
          <w:bCs/>
          <w:noProof/>
          <w:szCs w:val="20"/>
        </w:rPr>
        <w:t>urce, and rate type.  (While</w:t>
      </w:r>
      <w:r>
        <w:rPr>
          <w:bCs/>
          <w:noProof/>
          <w:szCs w:val="20"/>
        </w:rPr>
        <w:t xml:space="preserve"> account selection can be narrowed by Acct Status, be aware that selecting only active keys elminates information for keys that had been active earlier in the year</w:t>
      </w:r>
      <w:r w:rsidR="00713E27">
        <w:rPr>
          <w:bCs/>
          <w:noProof/>
          <w:szCs w:val="20"/>
        </w:rPr>
        <w:t xml:space="preserve"> but are no longer active</w:t>
      </w:r>
      <w:r>
        <w:rPr>
          <w:bCs/>
          <w:noProof/>
          <w:szCs w:val="20"/>
        </w:rPr>
        <w:t>.)</w:t>
      </w:r>
    </w:p>
    <w:p w:rsidR="00E84895" w:rsidRDefault="00E84895" w:rsidP="00984CD3">
      <w:pPr>
        <w:rPr>
          <w:b/>
          <w:bCs/>
          <w:iCs/>
          <w:color w:val="548DD4" w:themeColor="text2" w:themeTint="99"/>
          <w:sz w:val="24"/>
          <w:szCs w:val="28"/>
        </w:rPr>
      </w:pPr>
    </w:p>
    <w:p w:rsidR="00E84895" w:rsidRDefault="00FE2DC5" w:rsidP="00984CD3">
      <w:pPr>
        <w:rPr>
          <w:b/>
          <w:bCs/>
          <w:iCs/>
          <w:color w:val="548DD4" w:themeColor="text2" w:themeTint="99"/>
          <w:sz w:val="24"/>
          <w:szCs w:val="28"/>
        </w:rPr>
      </w:pPr>
      <w:r>
        <w:rPr>
          <w:noProof/>
        </w:rPr>
        <w:drawing>
          <wp:inline distT="0" distB="0" distL="0" distR="0" wp14:anchorId="51FD2F26" wp14:editId="1084D4A6">
            <wp:extent cx="5943600" cy="37922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3792220"/>
                    </a:xfrm>
                    <a:prstGeom prst="rect">
                      <a:avLst/>
                    </a:prstGeom>
                  </pic:spPr>
                </pic:pic>
              </a:graphicData>
            </a:graphic>
          </wp:inline>
        </w:drawing>
      </w:r>
    </w:p>
    <w:p w:rsidR="00E84895" w:rsidRDefault="00E84895" w:rsidP="00984CD3">
      <w:pPr>
        <w:rPr>
          <w:b/>
          <w:bCs/>
          <w:iCs/>
          <w:color w:val="548DD4" w:themeColor="text2" w:themeTint="99"/>
          <w:sz w:val="24"/>
          <w:szCs w:val="28"/>
        </w:rPr>
      </w:pPr>
    </w:p>
    <w:sectPr w:rsidR="00E84895" w:rsidSect="00A36B91">
      <w:footerReference w:type="default" r:id="rId25"/>
      <w:pgSz w:w="12240" w:h="15840"/>
      <w:pgMar w:top="1440" w:right="1440" w:bottom="1440" w:left="1440"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ED" w:rsidRDefault="00233CED" w:rsidP="00CE4A46">
      <w:r>
        <w:separator/>
      </w:r>
    </w:p>
  </w:endnote>
  <w:endnote w:type="continuationSeparator" w:id="0">
    <w:p w:rsidR="00233CED" w:rsidRDefault="00233CED" w:rsidP="00CE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955692"/>
      <w:docPartObj>
        <w:docPartGallery w:val="Page Numbers (Bottom of Page)"/>
        <w:docPartUnique/>
      </w:docPartObj>
    </w:sdtPr>
    <w:sdtEndPr>
      <w:rPr>
        <w:noProof/>
      </w:rPr>
    </w:sdtEndPr>
    <w:sdtContent>
      <w:p w:rsidR="00233CED" w:rsidRDefault="00233CED">
        <w:pPr>
          <w:pStyle w:val="Footer"/>
          <w:jc w:val="center"/>
        </w:pPr>
        <w:r>
          <w:fldChar w:fldCharType="begin"/>
        </w:r>
        <w:r>
          <w:instrText xml:space="preserve"> PAGE   \* MERGEFORMAT </w:instrText>
        </w:r>
        <w:r>
          <w:fldChar w:fldCharType="separate"/>
        </w:r>
        <w:r w:rsidR="002A01F2">
          <w:rPr>
            <w:noProof/>
          </w:rPr>
          <w:t>2</w:t>
        </w:r>
        <w:r>
          <w:rPr>
            <w:noProof/>
          </w:rPr>
          <w:fldChar w:fldCharType="end"/>
        </w:r>
      </w:p>
    </w:sdtContent>
  </w:sdt>
  <w:p w:rsidR="00233CED" w:rsidRDefault="00233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ED" w:rsidRDefault="00233CED" w:rsidP="00CE4A46">
      <w:r>
        <w:separator/>
      </w:r>
    </w:p>
  </w:footnote>
  <w:footnote w:type="continuationSeparator" w:id="0">
    <w:p w:rsidR="00233CED" w:rsidRDefault="00233CED" w:rsidP="00CE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4607F"/>
    <w:multiLevelType w:val="hybridMultilevel"/>
    <w:tmpl w:val="6D94419C"/>
    <w:lvl w:ilvl="0" w:tplc="3F8097CA">
      <w:start w:val="1"/>
      <w:numFmt w:val="decimal"/>
      <w:pStyle w:val="steps"/>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74E5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00"/>
    <w:rsid w:val="00056D5D"/>
    <w:rsid w:val="001215E8"/>
    <w:rsid w:val="00136DE3"/>
    <w:rsid w:val="00143314"/>
    <w:rsid w:val="00173384"/>
    <w:rsid w:val="001B5155"/>
    <w:rsid w:val="001C6F63"/>
    <w:rsid w:val="00233CED"/>
    <w:rsid w:val="002618BE"/>
    <w:rsid w:val="00293804"/>
    <w:rsid w:val="002956CD"/>
    <w:rsid w:val="002A01F2"/>
    <w:rsid w:val="00307BC5"/>
    <w:rsid w:val="003528EA"/>
    <w:rsid w:val="003535E1"/>
    <w:rsid w:val="003816B5"/>
    <w:rsid w:val="003A319A"/>
    <w:rsid w:val="003A4409"/>
    <w:rsid w:val="003B5E34"/>
    <w:rsid w:val="00416084"/>
    <w:rsid w:val="00465A1E"/>
    <w:rsid w:val="00482CF5"/>
    <w:rsid w:val="00491480"/>
    <w:rsid w:val="004B25B8"/>
    <w:rsid w:val="004C7A70"/>
    <w:rsid w:val="004D2EEF"/>
    <w:rsid w:val="004E51ED"/>
    <w:rsid w:val="0050539C"/>
    <w:rsid w:val="00543E3D"/>
    <w:rsid w:val="00556651"/>
    <w:rsid w:val="00576A50"/>
    <w:rsid w:val="005822E9"/>
    <w:rsid w:val="005D667F"/>
    <w:rsid w:val="005E5382"/>
    <w:rsid w:val="005F14B1"/>
    <w:rsid w:val="006227A9"/>
    <w:rsid w:val="00622B23"/>
    <w:rsid w:val="0063175D"/>
    <w:rsid w:val="00654139"/>
    <w:rsid w:val="006744B0"/>
    <w:rsid w:val="00677BD2"/>
    <w:rsid w:val="006929CF"/>
    <w:rsid w:val="006C579D"/>
    <w:rsid w:val="006C61E9"/>
    <w:rsid w:val="006D0CF4"/>
    <w:rsid w:val="006E6D0A"/>
    <w:rsid w:val="006F0047"/>
    <w:rsid w:val="00713E27"/>
    <w:rsid w:val="00727EC6"/>
    <w:rsid w:val="00737134"/>
    <w:rsid w:val="0075418E"/>
    <w:rsid w:val="00760C86"/>
    <w:rsid w:val="007C7F5C"/>
    <w:rsid w:val="007D02D5"/>
    <w:rsid w:val="007D6FF0"/>
    <w:rsid w:val="007E4B85"/>
    <w:rsid w:val="007E5EB2"/>
    <w:rsid w:val="00813FFC"/>
    <w:rsid w:val="00823473"/>
    <w:rsid w:val="00832383"/>
    <w:rsid w:val="00844C00"/>
    <w:rsid w:val="008D75CB"/>
    <w:rsid w:val="008E32F3"/>
    <w:rsid w:val="00935E4E"/>
    <w:rsid w:val="0094601D"/>
    <w:rsid w:val="00951ED8"/>
    <w:rsid w:val="00984CD3"/>
    <w:rsid w:val="00996F7A"/>
    <w:rsid w:val="00A20D9E"/>
    <w:rsid w:val="00A36B91"/>
    <w:rsid w:val="00A473D0"/>
    <w:rsid w:val="00A64630"/>
    <w:rsid w:val="00A73872"/>
    <w:rsid w:val="00A74A29"/>
    <w:rsid w:val="00A87613"/>
    <w:rsid w:val="00A94E17"/>
    <w:rsid w:val="00AB2BA7"/>
    <w:rsid w:val="00AC4720"/>
    <w:rsid w:val="00AF5900"/>
    <w:rsid w:val="00B119D9"/>
    <w:rsid w:val="00B4021A"/>
    <w:rsid w:val="00B51EB5"/>
    <w:rsid w:val="00B92491"/>
    <w:rsid w:val="00BD4B1D"/>
    <w:rsid w:val="00BF1726"/>
    <w:rsid w:val="00BF1D5D"/>
    <w:rsid w:val="00C1392C"/>
    <w:rsid w:val="00C20177"/>
    <w:rsid w:val="00CB7EE3"/>
    <w:rsid w:val="00CD54BA"/>
    <w:rsid w:val="00CE4A46"/>
    <w:rsid w:val="00D4760D"/>
    <w:rsid w:val="00D82BFF"/>
    <w:rsid w:val="00DB09E5"/>
    <w:rsid w:val="00E16501"/>
    <w:rsid w:val="00E31C4C"/>
    <w:rsid w:val="00E5312D"/>
    <w:rsid w:val="00E700CB"/>
    <w:rsid w:val="00E7554F"/>
    <w:rsid w:val="00E82D42"/>
    <w:rsid w:val="00E83A94"/>
    <w:rsid w:val="00E84895"/>
    <w:rsid w:val="00EA3620"/>
    <w:rsid w:val="00F046DC"/>
    <w:rsid w:val="00F306B4"/>
    <w:rsid w:val="00F65B67"/>
    <w:rsid w:val="00F67886"/>
    <w:rsid w:val="00F74ACF"/>
    <w:rsid w:val="00FD19DE"/>
    <w:rsid w:val="00FE2DC5"/>
    <w:rsid w:val="00FF2913"/>
    <w:rsid w:val="00FF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36B91"/>
    <w:pPr>
      <w:keepNext/>
      <w:spacing w:before="240" w:after="60"/>
      <w:jc w:val="center"/>
      <w:outlineLvl w:val="0"/>
    </w:pPr>
    <w:rPr>
      <w:b/>
      <w:bCs/>
      <w:color w:val="548DD4" w:themeColor="text2" w:themeTint="99"/>
      <w:kern w:val="32"/>
      <w:sz w:val="32"/>
      <w:szCs w:val="32"/>
    </w:rPr>
  </w:style>
  <w:style w:type="paragraph" w:styleId="Heading2">
    <w:name w:val="heading 2"/>
    <w:basedOn w:val="Normal"/>
    <w:next w:val="Normal"/>
    <w:link w:val="Heading2Char"/>
    <w:uiPriority w:val="9"/>
    <w:semiHidden/>
    <w:unhideWhenUsed/>
    <w:qFormat/>
    <w:rsid w:val="00A36B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B91"/>
    <w:rPr>
      <w:rFonts w:ascii="Arial" w:eastAsia="Times New Roman" w:hAnsi="Arial" w:cs="Times New Roman"/>
      <w:b/>
      <w:bCs/>
      <w:color w:val="548DD4" w:themeColor="text2" w:themeTint="99"/>
      <w:kern w:val="32"/>
      <w:sz w:val="32"/>
      <w:szCs w:val="32"/>
    </w:rPr>
  </w:style>
  <w:style w:type="paragraph" w:customStyle="1" w:styleId="Heading2BoldLeft">
    <w:name w:val="Heading 2 Bold Left"/>
    <w:basedOn w:val="Heading2"/>
    <w:link w:val="Heading2BoldLeftChar"/>
    <w:qFormat/>
    <w:rsid w:val="00A36B91"/>
    <w:pPr>
      <w:keepLines w:val="0"/>
      <w:spacing w:before="240" w:after="60"/>
    </w:pPr>
    <w:rPr>
      <w:rFonts w:ascii="Arial" w:eastAsia="Times New Roman" w:hAnsi="Arial" w:cs="Times New Roman"/>
      <w:iCs/>
      <w:color w:val="548DD4" w:themeColor="text2" w:themeTint="99"/>
      <w:sz w:val="24"/>
      <w:szCs w:val="28"/>
    </w:rPr>
  </w:style>
  <w:style w:type="character" w:customStyle="1" w:styleId="Heading2BoldLeftChar">
    <w:name w:val="Heading 2 Bold Left Char"/>
    <w:link w:val="Heading2BoldLeft"/>
    <w:rsid w:val="00A36B91"/>
    <w:rPr>
      <w:rFonts w:ascii="Arial" w:eastAsia="Times New Roman" w:hAnsi="Arial" w:cs="Times New Roman"/>
      <w:b/>
      <w:bCs/>
      <w:iCs/>
      <w:color w:val="548DD4" w:themeColor="text2" w:themeTint="99"/>
      <w:sz w:val="24"/>
      <w:szCs w:val="28"/>
    </w:rPr>
  </w:style>
  <w:style w:type="paragraph" w:customStyle="1" w:styleId="steps">
    <w:name w:val="steps"/>
    <w:basedOn w:val="Normal"/>
    <w:link w:val="stepsChar"/>
    <w:qFormat/>
    <w:rsid w:val="00A36B91"/>
    <w:pPr>
      <w:numPr>
        <w:numId w:val="1"/>
      </w:numPr>
      <w:spacing w:before="120" w:after="120"/>
    </w:pPr>
    <w:rPr>
      <w:b/>
      <w:bCs/>
      <w:szCs w:val="20"/>
    </w:rPr>
  </w:style>
  <w:style w:type="character" w:customStyle="1" w:styleId="stepsChar">
    <w:name w:val="steps Char"/>
    <w:basedOn w:val="DefaultParagraphFont"/>
    <w:link w:val="steps"/>
    <w:rsid w:val="00A36B91"/>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A36B9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51ED8"/>
    <w:rPr>
      <w:rFonts w:ascii="Tahoma" w:hAnsi="Tahoma" w:cs="Tahoma"/>
      <w:sz w:val="16"/>
      <w:szCs w:val="16"/>
    </w:rPr>
  </w:style>
  <w:style w:type="character" w:customStyle="1" w:styleId="BalloonTextChar">
    <w:name w:val="Balloon Text Char"/>
    <w:basedOn w:val="DefaultParagraphFont"/>
    <w:link w:val="BalloonText"/>
    <w:uiPriority w:val="99"/>
    <w:semiHidden/>
    <w:rsid w:val="00951ED8"/>
    <w:rPr>
      <w:rFonts w:ascii="Tahoma" w:eastAsia="Times New Roman" w:hAnsi="Tahoma" w:cs="Tahoma"/>
      <w:sz w:val="16"/>
      <w:szCs w:val="16"/>
    </w:rPr>
  </w:style>
  <w:style w:type="character" w:styleId="Hyperlink">
    <w:name w:val="Hyperlink"/>
    <w:basedOn w:val="DefaultParagraphFont"/>
    <w:uiPriority w:val="99"/>
    <w:unhideWhenUsed/>
    <w:rsid w:val="00E84895"/>
    <w:rPr>
      <w:color w:val="0000FF" w:themeColor="hyperlink"/>
      <w:u w:val="single"/>
    </w:rPr>
  </w:style>
  <w:style w:type="paragraph" w:styleId="Header">
    <w:name w:val="header"/>
    <w:basedOn w:val="Normal"/>
    <w:link w:val="HeaderChar"/>
    <w:uiPriority w:val="99"/>
    <w:unhideWhenUsed/>
    <w:rsid w:val="00CE4A46"/>
    <w:pPr>
      <w:tabs>
        <w:tab w:val="center" w:pos="4680"/>
        <w:tab w:val="right" w:pos="9360"/>
      </w:tabs>
    </w:pPr>
  </w:style>
  <w:style w:type="character" w:customStyle="1" w:styleId="HeaderChar">
    <w:name w:val="Header Char"/>
    <w:basedOn w:val="DefaultParagraphFont"/>
    <w:link w:val="Header"/>
    <w:uiPriority w:val="99"/>
    <w:rsid w:val="00CE4A46"/>
    <w:rPr>
      <w:rFonts w:ascii="Arial" w:eastAsia="Times New Roman" w:hAnsi="Arial" w:cs="Times New Roman"/>
      <w:sz w:val="20"/>
      <w:szCs w:val="24"/>
    </w:rPr>
  </w:style>
  <w:style w:type="paragraph" w:styleId="Footer">
    <w:name w:val="footer"/>
    <w:basedOn w:val="Normal"/>
    <w:link w:val="FooterChar"/>
    <w:uiPriority w:val="99"/>
    <w:unhideWhenUsed/>
    <w:rsid w:val="00CE4A46"/>
    <w:pPr>
      <w:tabs>
        <w:tab w:val="center" w:pos="4680"/>
        <w:tab w:val="right" w:pos="9360"/>
      </w:tabs>
    </w:pPr>
  </w:style>
  <w:style w:type="character" w:customStyle="1" w:styleId="FooterChar">
    <w:name w:val="Footer Char"/>
    <w:basedOn w:val="DefaultParagraphFont"/>
    <w:link w:val="Footer"/>
    <w:uiPriority w:val="99"/>
    <w:rsid w:val="00CE4A46"/>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36B91"/>
    <w:pPr>
      <w:keepNext/>
      <w:spacing w:before="240" w:after="60"/>
      <w:jc w:val="center"/>
      <w:outlineLvl w:val="0"/>
    </w:pPr>
    <w:rPr>
      <w:b/>
      <w:bCs/>
      <w:color w:val="548DD4" w:themeColor="text2" w:themeTint="99"/>
      <w:kern w:val="32"/>
      <w:sz w:val="32"/>
      <w:szCs w:val="32"/>
    </w:rPr>
  </w:style>
  <w:style w:type="paragraph" w:styleId="Heading2">
    <w:name w:val="heading 2"/>
    <w:basedOn w:val="Normal"/>
    <w:next w:val="Normal"/>
    <w:link w:val="Heading2Char"/>
    <w:uiPriority w:val="9"/>
    <w:semiHidden/>
    <w:unhideWhenUsed/>
    <w:qFormat/>
    <w:rsid w:val="00A36B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B91"/>
    <w:rPr>
      <w:rFonts w:ascii="Arial" w:eastAsia="Times New Roman" w:hAnsi="Arial" w:cs="Times New Roman"/>
      <w:b/>
      <w:bCs/>
      <w:color w:val="548DD4" w:themeColor="text2" w:themeTint="99"/>
      <w:kern w:val="32"/>
      <w:sz w:val="32"/>
      <w:szCs w:val="32"/>
    </w:rPr>
  </w:style>
  <w:style w:type="paragraph" w:customStyle="1" w:styleId="Heading2BoldLeft">
    <w:name w:val="Heading 2 Bold Left"/>
    <w:basedOn w:val="Heading2"/>
    <w:link w:val="Heading2BoldLeftChar"/>
    <w:qFormat/>
    <w:rsid w:val="00A36B91"/>
    <w:pPr>
      <w:keepLines w:val="0"/>
      <w:spacing w:before="240" w:after="60"/>
    </w:pPr>
    <w:rPr>
      <w:rFonts w:ascii="Arial" w:eastAsia="Times New Roman" w:hAnsi="Arial" w:cs="Times New Roman"/>
      <w:iCs/>
      <w:color w:val="548DD4" w:themeColor="text2" w:themeTint="99"/>
      <w:sz w:val="24"/>
      <w:szCs w:val="28"/>
    </w:rPr>
  </w:style>
  <w:style w:type="character" w:customStyle="1" w:styleId="Heading2BoldLeftChar">
    <w:name w:val="Heading 2 Bold Left Char"/>
    <w:link w:val="Heading2BoldLeft"/>
    <w:rsid w:val="00A36B91"/>
    <w:rPr>
      <w:rFonts w:ascii="Arial" w:eastAsia="Times New Roman" w:hAnsi="Arial" w:cs="Times New Roman"/>
      <w:b/>
      <w:bCs/>
      <w:iCs/>
      <w:color w:val="548DD4" w:themeColor="text2" w:themeTint="99"/>
      <w:sz w:val="24"/>
      <w:szCs w:val="28"/>
    </w:rPr>
  </w:style>
  <w:style w:type="paragraph" w:customStyle="1" w:styleId="steps">
    <w:name w:val="steps"/>
    <w:basedOn w:val="Normal"/>
    <w:link w:val="stepsChar"/>
    <w:qFormat/>
    <w:rsid w:val="00A36B91"/>
    <w:pPr>
      <w:numPr>
        <w:numId w:val="1"/>
      </w:numPr>
      <w:spacing w:before="120" w:after="120"/>
    </w:pPr>
    <w:rPr>
      <w:b/>
      <w:bCs/>
      <w:szCs w:val="20"/>
    </w:rPr>
  </w:style>
  <w:style w:type="character" w:customStyle="1" w:styleId="stepsChar">
    <w:name w:val="steps Char"/>
    <w:basedOn w:val="DefaultParagraphFont"/>
    <w:link w:val="steps"/>
    <w:rsid w:val="00A36B91"/>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A36B9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51ED8"/>
    <w:rPr>
      <w:rFonts w:ascii="Tahoma" w:hAnsi="Tahoma" w:cs="Tahoma"/>
      <w:sz w:val="16"/>
      <w:szCs w:val="16"/>
    </w:rPr>
  </w:style>
  <w:style w:type="character" w:customStyle="1" w:styleId="BalloonTextChar">
    <w:name w:val="Balloon Text Char"/>
    <w:basedOn w:val="DefaultParagraphFont"/>
    <w:link w:val="BalloonText"/>
    <w:uiPriority w:val="99"/>
    <w:semiHidden/>
    <w:rsid w:val="00951ED8"/>
    <w:rPr>
      <w:rFonts w:ascii="Tahoma" w:eastAsia="Times New Roman" w:hAnsi="Tahoma" w:cs="Tahoma"/>
      <w:sz w:val="16"/>
      <w:szCs w:val="16"/>
    </w:rPr>
  </w:style>
  <w:style w:type="character" w:styleId="Hyperlink">
    <w:name w:val="Hyperlink"/>
    <w:basedOn w:val="DefaultParagraphFont"/>
    <w:uiPriority w:val="99"/>
    <w:unhideWhenUsed/>
    <w:rsid w:val="00E84895"/>
    <w:rPr>
      <w:color w:val="0000FF" w:themeColor="hyperlink"/>
      <w:u w:val="single"/>
    </w:rPr>
  </w:style>
  <w:style w:type="paragraph" w:styleId="Header">
    <w:name w:val="header"/>
    <w:basedOn w:val="Normal"/>
    <w:link w:val="HeaderChar"/>
    <w:uiPriority w:val="99"/>
    <w:unhideWhenUsed/>
    <w:rsid w:val="00CE4A46"/>
    <w:pPr>
      <w:tabs>
        <w:tab w:val="center" w:pos="4680"/>
        <w:tab w:val="right" w:pos="9360"/>
      </w:tabs>
    </w:pPr>
  </w:style>
  <w:style w:type="character" w:customStyle="1" w:styleId="HeaderChar">
    <w:name w:val="Header Char"/>
    <w:basedOn w:val="DefaultParagraphFont"/>
    <w:link w:val="Header"/>
    <w:uiPriority w:val="99"/>
    <w:rsid w:val="00CE4A46"/>
    <w:rPr>
      <w:rFonts w:ascii="Arial" w:eastAsia="Times New Roman" w:hAnsi="Arial" w:cs="Times New Roman"/>
      <w:sz w:val="20"/>
      <w:szCs w:val="24"/>
    </w:rPr>
  </w:style>
  <w:style w:type="paragraph" w:styleId="Footer">
    <w:name w:val="footer"/>
    <w:basedOn w:val="Normal"/>
    <w:link w:val="FooterChar"/>
    <w:uiPriority w:val="99"/>
    <w:unhideWhenUsed/>
    <w:rsid w:val="00CE4A46"/>
    <w:pPr>
      <w:tabs>
        <w:tab w:val="center" w:pos="4680"/>
        <w:tab w:val="right" w:pos="9360"/>
      </w:tabs>
    </w:pPr>
  </w:style>
  <w:style w:type="character" w:customStyle="1" w:styleId="FooterChar">
    <w:name w:val="Footer Char"/>
    <w:basedOn w:val="DefaultParagraphFont"/>
    <w:link w:val="Footer"/>
    <w:uiPriority w:val="99"/>
    <w:rsid w:val="00CE4A4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5244">
      <w:bodyDiv w:val="1"/>
      <w:marLeft w:val="0"/>
      <w:marRight w:val="0"/>
      <w:marTop w:val="0"/>
      <w:marBottom w:val="0"/>
      <w:divBdr>
        <w:top w:val="none" w:sz="0" w:space="0" w:color="auto"/>
        <w:left w:val="none" w:sz="0" w:space="0" w:color="auto"/>
        <w:bottom w:val="none" w:sz="0" w:space="0" w:color="auto"/>
        <w:right w:val="none" w:sz="0" w:space="0" w:color="auto"/>
      </w:divBdr>
    </w:div>
    <w:div w:id="1245065638">
      <w:bodyDiv w:val="1"/>
      <w:marLeft w:val="0"/>
      <w:marRight w:val="0"/>
      <w:marTop w:val="0"/>
      <w:marBottom w:val="0"/>
      <w:divBdr>
        <w:top w:val="none" w:sz="0" w:space="0" w:color="auto"/>
        <w:left w:val="none" w:sz="0" w:space="0" w:color="auto"/>
        <w:bottom w:val="none" w:sz="0" w:space="0" w:color="auto"/>
        <w:right w:val="none" w:sz="0" w:space="0" w:color="auto"/>
      </w:divBdr>
    </w:div>
    <w:div w:id="17961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s://fatahoe.fanda.ucar.edu/fab/fab.aspx" TargetMode="External"/><Relationship Id="rId14" Type="http://schemas.openxmlformats.org/officeDocument/2006/relationships/hyperlink" Target="https://famead.fanda.ucar.edu/ibmcognos/"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987E-F917-4F0B-B1D5-DCBF6BEB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 Kubler</dc:creator>
  <cp:lastModifiedBy>Reta Kubler</cp:lastModifiedBy>
  <cp:revision>4</cp:revision>
  <dcterms:created xsi:type="dcterms:W3CDTF">2014-01-30T05:03:00Z</dcterms:created>
  <dcterms:modified xsi:type="dcterms:W3CDTF">2014-01-30T05:15:00Z</dcterms:modified>
</cp:coreProperties>
</file>