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0332" w:rsidRDefault="00DA24B6">
      <w:pPr>
        <w:spacing w:after="0"/>
      </w:pPr>
      <w:bookmarkStart w:id="0" w:name="_GoBack"/>
      <w:bookmarkEnd w:id="0"/>
      <w:r>
        <w:rPr>
          <w:rFonts w:ascii="Arial" w:eastAsia="Arial" w:hAnsi="Arial" w:cs="Arial"/>
          <w:b/>
        </w:rPr>
        <w:t>Creating and Maintaining Strat Plan, Priorities and Projects / Activities Lists for Mapping</w:t>
      </w:r>
    </w:p>
    <w:p w:rsidR="00120332" w:rsidRDefault="00120332">
      <w:pPr>
        <w:spacing w:after="0"/>
      </w:pPr>
    </w:p>
    <w:p w:rsidR="00120332" w:rsidRDefault="00DA24B6">
      <w:pPr>
        <w:spacing w:after="0" w:line="240" w:lineRule="auto"/>
      </w:pPr>
      <w:r>
        <w:rPr>
          <w:rFonts w:ascii="Arial" w:eastAsia="Arial" w:hAnsi="Arial" w:cs="Arial"/>
          <w:sz w:val="20"/>
        </w:rPr>
        <w:t>Thoughtful creation of these lists and naming conventions up front will simplify and enhance later reporting, sorting, grouping and filtering.  A good rule of thumb is for lists to be detailed enough to be meaningful, but not so detailed that mapping is ov</w:t>
      </w:r>
      <w:r>
        <w:rPr>
          <w:rFonts w:ascii="Arial" w:eastAsia="Arial" w:hAnsi="Arial" w:cs="Arial"/>
          <w:sz w:val="20"/>
        </w:rPr>
        <w:t xml:space="preserve">erly complicated; the effort should equal the value.  </w:t>
      </w:r>
    </w:p>
    <w:p w:rsidR="00120332" w:rsidRDefault="00120332">
      <w:pPr>
        <w:spacing w:after="0" w:line="240" w:lineRule="auto"/>
      </w:pPr>
    </w:p>
    <w:p w:rsidR="00120332" w:rsidRDefault="00DA24B6">
      <w:pPr>
        <w:spacing w:after="0" w:line="240" w:lineRule="auto"/>
      </w:pPr>
      <w:r>
        <w:rPr>
          <w:rFonts w:ascii="Arial" w:eastAsia="Arial" w:hAnsi="Arial" w:cs="Arial"/>
          <w:sz w:val="20"/>
        </w:rPr>
        <w:t>Keep in mind that these items cannot be edited or deleted once they are added to TM1 dimensions.  New items can be added and numerous changes may ultimately result in a very lengthy drop down lists fr</w:t>
      </w:r>
      <w:r>
        <w:rPr>
          <w:rFonts w:ascii="Arial" w:eastAsia="Arial" w:hAnsi="Arial" w:cs="Arial"/>
          <w:sz w:val="20"/>
        </w:rPr>
        <w:t xml:space="preserve">om which users select.  Per TM1 naming conventions, no special characters can be in the names, such </w:t>
      </w:r>
      <w:proofErr w:type="gramStart"/>
      <w:r>
        <w:rPr>
          <w:rFonts w:ascii="Arial" w:eastAsia="Arial" w:hAnsi="Arial" w:cs="Arial"/>
          <w:sz w:val="20"/>
        </w:rPr>
        <w:t>as ,</w:t>
      </w:r>
      <w:proofErr w:type="gramEnd"/>
      <w:r>
        <w:rPr>
          <w:rFonts w:ascii="Arial" w:eastAsia="Arial" w:hAnsi="Arial" w:cs="Arial"/>
          <w:sz w:val="20"/>
        </w:rPr>
        <w:t xml:space="preserve"> ‘ . - / *&amp;()...  </w:t>
      </w:r>
    </w:p>
    <w:p w:rsidR="00120332" w:rsidRDefault="00120332">
      <w:pPr>
        <w:spacing w:after="0" w:line="240" w:lineRule="auto"/>
      </w:pPr>
    </w:p>
    <w:p w:rsidR="00120332" w:rsidRDefault="00DA24B6">
      <w:pPr>
        <w:numPr>
          <w:ilvl w:val="0"/>
          <w:numId w:val="9"/>
        </w:numPr>
        <w:spacing w:after="0" w:line="240" w:lineRule="auto"/>
        <w:ind w:left="360" w:hanging="359"/>
        <w:rPr>
          <w:b/>
          <w:color w:val="222222"/>
        </w:rPr>
      </w:pPr>
      <w:r>
        <w:rPr>
          <w:rFonts w:ascii="Arial" w:eastAsia="Arial" w:hAnsi="Arial" w:cs="Arial"/>
          <w:b/>
          <w:sz w:val="20"/>
        </w:rPr>
        <w:t>Lab Strategic Plan Items List</w:t>
      </w:r>
    </w:p>
    <w:p w:rsidR="00120332" w:rsidRDefault="00DA24B6">
      <w:pPr>
        <w:numPr>
          <w:ilvl w:val="1"/>
          <w:numId w:val="8"/>
        </w:numPr>
        <w:spacing w:after="0" w:line="240" w:lineRule="auto"/>
        <w:ind w:left="855" w:hanging="359"/>
        <w:rPr>
          <w:color w:val="222222"/>
        </w:rPr>
      </w:pPr>
      <w:r>
        <w:rPr>
          <w:rFonts w:ascii="Arial" w:eastAsia="Arial" w:hAnsi="Arial" w:cs="Arial"/>
          <w:sz w:val="20"/>
        </w:rPr>
        <w:t>These should be at a high level (i.e. Imperatives) from your Lab Strategic Plan and would typically be</w:t>
      </w:r>
      <w:r>
        <w:rPr>
          <w:rFonts w:ascii="Arial" w:eastAsia="Arial" w:hAnsi="Arial" w:cs="Arial"/>
          <w:sz w:val="20"/>
        </w:rPr>
        <w:t xml:space="preserve"> the shortest list.  These are what you will map your Projects / Activities to in the FAB Allocation Mapping application.  (Some Labs or groups have opted to map to the NCAR Strategic Plan.)</w:t>
      </w:r>
    </w:p>
    <w:p w:rsidR="00120332" w:rsidRDefault="00120332">
      <w:pPr>
        <w:spacing w:after="0" w:line="240" w:lineRule="auto"/>
      </w:pPr>
      <w:bookmarkStart w:id="1" w:name="h.gjdgxs" w:colFirst="0" w:colLast="0"/>
      <w:bookmarkEnd w:id="1"/>
    </w:p>
    <w:p w:rsidR="00120332" w:rsidRDefault="00DA24B6">
      <w:pPr>
        <w:numPr>
          <w:ilvl w:val="0"/>
          <w:numId w:val="7"/>
        </w:numPr>
        <w:spacing w:after="0" w:line="240" w:lineRule="auto"/>
        <w:ind w:left="360" w:hanging="359"/>
        <w:rPr>
          <w:b/>
          <w:color w:val="222222"/>
        </w:rPr>
      </w:pPr>
      <w:r>
        <w:rPr>
          <w:rFonts w:ascii="Arial" w:eastAsia="Arial" w:hAnsi="Arial" w:cs="Arial"/>
          <w:b/>
          <w:sz w:val="20"/>
        </w:rPr>
        <w:t xml:space="preserve">Lab Priority Items List - </w:t>
      </w:r>
      <w:r>
        <w:rPr>
          <w:rFonts w:ascii="Arial" w:eastAsia="Arial" w:hAnsi="Arial" w:cs="Arial"/>
          <w:b/>
          <w:i/>
          <w:sz w:val="20"/>
        </w:rPr>
        <w:t>Optional</w:t>
      </w:r>
    </w:p>
    <w:p w:rsidR="00120332" w:rsidRDefault="00DA24B6">
      <w:pPr>
        <w:numPr>
          <w:ilvl w:val="1"/>
          <w:numId w:val="6"/>
        </w:numPr>
        <w:spacing w:after="0" w:line="240" w:lineRule="auto"/>
        <w:ind w:left="855" w:hanging="359"/>
        <w:rPr>
          <w:color w:val="222222"/>
        </w:rPr>
      </w:pPr>
      <w:r>
        <w:rPr>
          <w:rFonts w:ascii="Arial" w:eastAsia="Arial" w:hAnsi="Arial" w:cs="Arial"/>
          <w:sz w:val="20"/>
        </w:rPr>
        <w:t>This list is optional and wou</w:t>
      </w:r>
      <w:r>
        <w:rPr>
          <w:rFonts w:ascii="Arial" w:eastAsia="Arial" w:hAnsi="Arial" w:cs="Arial"/>
          <w:sz w:val="20"/>
        </w:rPr>
        <w:t>ld typically be a medium-length list, under which Lab Projects / Activities (see below) fall.  These would be areas not specifically identified at a high level in the Lab Strategic Plan, but rather areas where you anticipate questions from B&amp;P, NSF or othe</w:t>
      </w:r>
      <w:r>
        <w:rPr>
          <w:rFonts w:ascii="Arial" w:eastAsia="Arial" w:hAnsi="Arial" w:cs="Arial"/>
          <w:sz w:val="20"/>
        </w:rPr>
        <w:t xml:space="preserve">rs. </w:t>
      </w:r>
    </w:p>
    <w:p w:rsidR="00120332" w:rsidRDefault="00DA24B6">
      <w:pPr>
        <w:numPr>
          <w:ilvl w:val="2"/>
          <w:numId w:val="5"/>
        </w:numPr>
        <w:spacing w:after="0" w:line="240" w:lineRule="auto"/>
        <w:ind w:left="1575" w:hanging="359"/>
        <w:rPr>
          <w:color w:val="222222"/>
        </w:rPr>
      </w:pPr>
      <w:r>
        <w:rPr>
          <w:rFonts w:ascii="Arial" w:eastAsia="Arial" w:hAnsi="Arial" w:cs="Arial"/>
          <w:sz w:val="20"/>
        </w:rPr>
        <w:t>Note that if you choose not to use Lab Priority Items, you can still roll up using names.  For example:  The Lab Strategic Plan Item list might have Community Modeling but not call out WRF.  However, if all Lab Projects / Activities related to WRF inc</w:t>
      </w:r>
      <w:r>
        <w:rPr>
          <w:rFonts w:ascii="Arial" w:eastAsia="Arial" w:hAnsi="Arial" w:cs="Arial"/>
          <w:sz w:val="20"/>
        </w:rPr>
        <w:t>lude “WRF” in the name, you could roll them up by searching for “WRF” in the title.  Thus, you would have less initial mapping to do if you don’t us Lab Priority Items, but you would need more intelligence in the Lab Project/Activity Item names for sorting</w:t>
      </w:r>
      <w:r>
        <w:rPr>
          <w:rFonts w:ascii="Arial" w:eastAsia="Arial" w:hAnsi="Arial" w:cs="Arial"/>
          <w:sz w:val="20"/>
        </w:rPr>
        <w:t xml:space="preserve"> and grouping.</w:t>
      </w:r>
    </w:p>
    <w:p w:rsidR="00120332" w:rsidRDefault="00120332">
      <w:pPr>
        <w:spacing w:after="0" w:line="240" w:lineRule="auto"/>
      </w:pPr>
    </w:p>
    <w:p w:rsidR="00120332" w:rsidRDefault="00DA24B6">
      <w:pPr>
        <w:numPr>
          <w:ilvl w:val="0"/>
          <w:numId w:val="4"/>
        </w:numPr>
        <w:spacing w:after="0" w:line="240" w:lineRule="auto"/>
        <w:ind w:left="360" w:hanging="359"/>
        <w:rPr>
          <w:b/>
          <w:color w:val="222222"/>
        </w:rPr>
      </w:pPr>
      <w:r>
        <w:rPr>
          <w:rFonts w:ascii="Arial" w:eastAsia="Arial" w:hAnsi="Arial" w:cs="Arial"/>
          <w:b/>
          <w:sz w:val="20"/>
        </w:rPr>
        <w:t>Lab Project / Activity Items List</w:t>
      </w:r>
    </w:p>
    <w:p w:rsidR="00120332" w:rsidRDefault="00DA24B6">
      <w:pPr>
        <w:numPr>
          <w:ilvl w:val="1"/>
          <w:numId w:val="3"/>
        </w:numPr>
        <w:spacing w:after="0" w:line="240" w:lineRule="auto"/>
        <w:ind w:left="855" w:hanging="359"/>
        <w:rPr>
          <w:color w:val="222222"/>
        </w:rPr>
      </w:pPr>
      <w:r>
        <w:rPr>
          <w:rFonts w:ascii="Arial" w:eastAsia="Arial" w:hAnsi="Arial" w:cs="Arial"/>
          <w:sz w:val="20"/>
        </w:rPr>
        <w:t>This would typically be the longest of the three lists.</w:t>
      </w:r>
    </w:p>
    <w:p w:rsidR="00120332" w:rsidRDefault="00DA24B6">
      <w:pPr>
        <w:numPr>
          <w:ilvl w:val="1"/>
          <w:numId w:val="2"/>
        </w:numPr>
        <w:spacing w:after="0" w:line="240" w:lineRule="auto"/>
        <w:ind w:left="855" w:hanging="359"/>
        <w:rPr>
          <w:color w:val="222222"/>
        </w:rPr>
      </w:pPr>
      <w:r>
        <w:rPr>
          <w:rFonts w:ascii="Arial" w:eastAsia="Arial" w:hAnsi="Arial" w:cs="Arial"/>
          <w:sz w:val="20"/>
        </w:rPr>
        <w:t>Projects / Activities should be of similar granularity to the former ABR Priorities / Tasks.</w:t>
      </w:r>
    </w:p>
    <w:p w:rsidR="00120332" w:rsidRDefault="00DA24B6">
      <w:pPr>
        <w:numPr>
          <w:ilvl w:val="1"/>
          <w:numId w:val="1"/>
        </w:numPr>
        <w:spacing w:after="0" w:line="240" w:lineRule="auto"/>
        <w:ind w:left="855" w:hanging="359"/>
        <w:rPr>
          <w:color w:val="222222"/>
        </w:rPr>
      </w:pPr>
      <w:r>
        <w:rPr>
          <w:rFonts w:ascii="Arial" w:eastAsia="Arial" w:hAnsi="Arial" w:cs="Arial"/>
          <w:sz w:val="20"/>
        </w:rPr>
        <w:t>You should also list Projects / Activities that will help you respond to common budgetary and programmatic questions - but note that some topics might be better identified via User Defined Account Key attributes in FAB rather than added to your mapping lis</w:t>
      </w:r>
      <w:r>
        <w:rPr>
          <w:rFonts w:ascii="Arial" w:eastAsia="Arial" w:hAnsi="Arial" w:cs="Arial"/>
          <w:sz w:val="20"/>
        </w:rPr>
        <w:t xml:space="preserve">ts.  It is up to each Lab to decide.  We recommend that your granularity in this list increases for those items that are considered for cuts or augmentations. </w:t>
      </w:r>
    </w:p>
    <w:p w:rsidR="00120332" w:rsidRDefault="00DA24B6">
      <w:pPr>
        <w:numPr>
          <w:ilvl w:val="1"/>
          <w:numId w:val="14"/>
        </w:numPr>
        <w:spacing w:after="0" w:line="240" w:lineRule="auto"/>
        <w:ind w:left="855" w:hanging="359"/>
        <w:rPr>
          <w:color w:val="222222"/>
        </w:rPr>
      </w:pPr>
      <w:r>
        <w:rPr>
          <w:rFonts w:ascii="Arial" w:eastAsia="Arial" w:hAnsi="Arial" w:cs="Arial"/>
          <w:sz w:val="20"/>
        </w:rPr>
        <w:t>Common nomenclature is necessary to make it easier to find names in the drop down lists when ent</w:t>
      </w:r>
      <w:r>
        <w:rPr>
          <w:rFonts w:ascii="Arial" w:eastAsia="Arial" w:hAnsi="Arial" w:cs="Arial"/>
          <w:sz w:val="20"/>
        </w:rPr>
        <w:t>ering data, as well as to use in sorting, grouping and reporting. Thus, names for items should begin with Lab and Division or Facility or Subfacility acronyms:</w:t>
      </w:r>
    </w:p>
    <w:p w:rsidR="00120332" w:rsidRDefault="00DA24B6">
      <w:pPr>
        <w:numPr>
          <w:ilvl w:val="2"/>
          <w:numId w:val="10"/>
        </w:numPr>
        <w:spacing w:after="0" w:line="240" w:lineRule="auto"/>
        <w:ind w:left="1575" w:hanging="359"/>
        <w:rPr>
          <w:color w:val="222222"/>
        </w:rPr>
      </w:pPr>
      <w:r>
        <w:rPr>
          <w:rFonts w:ascii="Arial" w:eastAsia="Arial" w:hAnsi="Arial" w:cs="Arial"/>
          <w:b/>
          <w:i/>
          <w:sz w:val="20"/>
        </w:rPr>
        <w:t xml:space="preserve">EOL DFS </w:t>
      </w:r>
      <w:r>
        <w:rPr>
          <w:rFonts w:ascii="Arial" w:eastAsia="Arial" w:hAnsi="Arial" w:cs="Arial"/>
          <w:sz w:val="20"/>
        </w:rPr>
        <w:t xml:space="preserve">Stuff, </w:t>
      </w:r>
      <w:r>
        <w:rPr>
          <w:rFonts w:ascii="Arial" w:eastAsia="Arial" w:hAnsi="Arial" w:cs="Arial"/>
          <w:b/>
          <w:i/>
          <w:sz w:val="20"/>
        </w:rPr>
        <w:t>NESL MMM</w:t>
      </w:r>
      <w:r>
        <w:rPr>
          <w:rFonts w:ascii="Arial" w:eastAsia="Arial" w:hAnsi="Arial" w:cs="Arial"/>
          <w:sz w:val="20"/>
        </w:rPr>
        <w:t xml:space="preserve"> New Stuff, </w:t>
      </w:r>
      <w:r>
        <w:rPr>
          <w:rFonts w:ascii="Arial" w:eastAsia="Arial" w:hAnsi="Arial" w:cs="Arial"/>
          <w:b/>
          <w:i/>
          <w:sz w:val="20"/>
        </w:rPr>
        <w:t xml:space="preserve">CISL </w:t>
      </w:r>
      <w:proofErr w:type="spellStart"/>
      <w:r>
        <w:rPr>
          <w:rFonts w:ascii="Arial" w:eastAsia="Arial" w:hAnsi="Arial" w:cs="Arial"/>
          <w:b/>
          <w:i/>
          <w:sz w:val="20"/>
        </w:rPr>
        <w:t>IMAGe</w:t>
      </w:r>
      <w:proofErr w:type="spellEnd"/>
      <w:r>
        <w:rPr>
          <w:rFonts w:ascii="Arial" w:eastAsia="Arial" w:hAnsi="Arial" w:cs="Arial"/>
          <w:sz w:val="20"/>
        </w:rPr>
        <w:t xml:space="preserve"> Other Stuff, </w:t>
      </w:r>
      <w:r>
        <w:rPr>
          <w:rFonts w:ascii="Arial" w:eastAsia="Arial" w:hAnsi="Arial" w:cs="Arial"/>
          <w:b/>
          <w:i/>
          <w:sz w:val="20"/>
        </w:rPr>
        <w:t>RAL NSAP</w:t>
      </w:r>
      <w:r>
        <w:rPr>
          <w:rFonts w:ascii="Arial" w:eastAsia="Arial" w:hAnsi="Arial" w:cs="Arial"/>
          <w:sz w:val="20"/>
        </w:rPr>
        <w:t xml:space="preserve"> More Stuff</w:t>
      </w:r>
    </w:p>
    <w:p w:rsidR="00120332" w:rsidRDefault="00DA24B6">
      <w:pPr>
        <w:spacing w:after="0" w:line="240" w:lineRule="auto"/>
        <w:ind w:left="855"/>
      </w:pPr>
      <w:r>
        <w:rPr>
          <w:rFonts w:ascii="Arial" w:eastAsia="Arial" w:hAnsi="Arial" w:cs="Arial"/>
          <w:i/>
          <w:sz w:val="20"/>
        </w:rPr>
        <w:t>(B&amp;P verifies and</w:t>
      </w:r>
      <w:r>
        <w:rPr>
          <w:rFonts w:ascii="Arial" w:eastAsia="Arial" w:hAnsi="Arial" w:cs="Arial"/>
          <w:i/>
          <w:sz w:val="20"/>
        </w:rPr>
        <w:t xml:space="preserve"> coordinates the nomenclature among Labs)</w:t>
      </w:r>
    </w:p>
    <w:p w:rsidR="00120332" w:rsidRDefault="00DA24B6">
      <w:pPr>
        <w:numPr>
          <w:ilvl w:val="1"/>
          <w:numId w:val="11"/>
        </w:numPr>
        <w:spacing w:after="0" w:line="240" w:lineRule="auto"/>
        <w:ind w:left="855" w:hanging="359"/>
        <w:rPr>
          <w:color w:val="222222"/>
        </w:rPr>
      </w:pPr>
      <w:r>
        <w:rPr>
          <w:rFonts w:ascii="Arial" w:eastAsia="Arial" w:hAnsi="Arial" w:cs="Arial"/>
          <w:sz w:val="20"/>
        </w:rPr>
        <w:t>Major cross-Lab programs and common thrusts should use consistent agreed upon acronyms and naming conventions within Priority and Project / Activity names. For example:</w:t>
      </w:r>
    </w:p>
    <w:p w:rsidR="00120332" w:rsidRDefault="00DA24B6">
      <w:pPr>
        <w:numPr>
          <w:ilvl w:val="2"/>
          <w:numId w:val="12"/>
        </w:numPr>
        <w:spacing w:after="0" w:line="240" w:lineRule="auto"/>
        <w:ind w:left="1575" w:hanging="359"/>
        <w:rPr>
          <w:color w:val="222222"/>
        </w:rPr>
      </w:pPr>
      <w:r>
        <w:rPr>
          <w:rFonts w:ascii="Arial" w:eastAsia="Arial" w:hAnsi="Arial" w:cs="Arial"/>
          <w:sz w:val="20"/>
        </w:rPr>
        <w:t xml:space="preserve">EOL DFS </w:t>
      </w:r>
      <w:r>
        <w:rPr>
          <w:rFonts w:ascii="Arial" w:eastAsia="Arial" w:hAnsi="Arial" w:cs="Arial"/>
          <w:b/>
          <w:i/>
          <w:sz w:val="20"/>
        </w:rPr>
        <w:t xml:space="preserve">Education and Outreach </w:t>
      </w:r>
      <w:r>
        <w:rPr>
          <w:rFonts w:ascii="Arial" w:eastAsia="Arial" w:hAnsi="Arial" w:cs="Arial"/>
          <w:sz w:val="20"/>
        </w:rPr>
        <w:t xml:space="preserve">General,  RAL </w:t>
      </w:r>
      <w:r>
        <w:rPr>
          <w:rFonts w:ascii="Arial" w:eastAsia="Arial" w:hAnsi="Arial" w:cs="Arial"/>
          <w:sz w:val="20"/>
        </w:rPr>
        <w:t xml:space="preserve">NSAP </w:t>
      </w:r>
      <w:r>
        <w:rPr>
          <w:rFonts w:ascii="Arial" w:eastAsia="Arial" w:hAnsi="Arial" w:cs="Arial"/>
          <w:b/>
          <w:i/>
          <w:sz w:val="20"/>
        </w:rPr>
        <w:t xml:space="preserve">Education and Outreach </w:t>
      </w:r>
      <w:r>
        <w:rPr>
          <w:rFonts w:ascii="Arial" w:eastAsia="Arial" w:hAnsi="Arial" w:cs="Arial"/>
          <w:sz w:val="20"/>
        </w:rPr>
        <w:t xml:space="preserve">K-12,  CISL </w:t>
      </w:r>
      <w:r>
        <w:rPr>
          <w:rFonts w:ascii="Arial" w:eastAsia="Arial" w:hAnsi="Arial" w:cs="Arial"/>
          <w:b/>
          <w:i/>
          <w:sz w:val="20"/>
        </w:rPr>
        <w:t>Education and Outreach</w:t>
      </w:r>
    </w:p>
    <w:p w:rsidR="00120332" w:rsidRDefault="00DA24B6">
      <w:pPr>
        <w:numPr>
          <w:ilvl w:val="2"/>
          <w:numId w:val="12"/>
        </w:numPr>
        <w:spacing w:after="0" w:line="240" w:lineRule="auto"/>
        <w:ind w:left="1575" w:hanging="359"/>
        <w:rPr>
          <w:color w:val="222222"/>
        </w:rPr>
      </w:pPr>
      <w:r>
        <w:rPr>
          <w:rFonts w:ascii="Arial" w:eastAsia="Arial" w:hAnsi="Arial" w:cs="Arial"/>
          <w:sz w:val="20"/>
        </w:rPr>
        <w:t xml:space="preserve">NESL CGD </w:t>
      </w:r>
      <w:r>
        <w:rPr>
          <w:rFonts w:ascii="Arial" w:eastAsia="Arial" w:hAnsi="Arial" w:cs="Arial"/>
          <w:b/>
          <w:i/>
          <w:sz w:val="20"/>
        </w:rPr>
        <w:t>WACCM</w:t>
      </w:r>
      <w:r>
        <w:rPr>
          <w:rFonts w:ascii="Arial" w:eastAsia="Arial" w:hAnsi="Arial" w:cs="Arial"/>
          <w:sz w:val="20"/>
        </w:rPr>
        <w:t xml:space="preserve">,  NESL ACD </w:t>
      </w:r>
      <w:r>
        <w:rPr>
          <w:rFonts w:ascii="Arial" w:eastAsia="Arial" w:hAnsi="Arial" w:cs="Arial"/>
          <w:b/>
          <w:i/>
          <w:sz w:val="20"/>
        </w:rPr>
        <w:t>WACCM</w:t>
      </w:r>
      <w:r>
        <w:rPr>
          <w:rFonts w:ascii="Arial" w:eastAsia="Arial" w:hAnsi="Arial" w:cs="Arial"/>
          <w:sz w:val="20"/>
        </w:rPr>
        <w:t xml:space="preserve"> Dev and App</w:t>
      </w:r>
    </w:p>
    <w:p w:rsidR="00120332" w:rsidRDefault="00120332">
      <w:pPr>
        <w:spacing w:after="240" w:line="240" w:lineRule="auto"/>
      </w:pPr>
    </w:p>
    <w:p w:rsidR="00120332" w:rsidRDefault="00120332">
      <w:pPr>
        <w:spacing w:after="0" w:line="240" w:lineRule="auto"/>
      </w:pPr>
    </w:p>
    <w:p w:rsidR="00120332" w:rsidRDefault="00120332">
      <w:pPr>
        <w:spacing w:after="0" w:line="240" w:lineRule="auto"/>
      </w:pPr>
    </w:p>
    <w:p w:rsidR="00120332" w:rsidRDefault="00120332">
      <w:pPr>
        <w:spacing w:after="0" w:line="240" w:lineRule="auto"/>
      </w:pPr>
    </w:p>
    <w:p w:rsidR="00120332" w:rsidRDefault="00120332">
      <w:pPr>
        <w:spacing w:after="0" w:line="240" w:lineRule="auto"/>
      </w:pPr>
    </w:p>
    <w:p w:rsidR="00120332" w:rsidRDefault="00DA24B6">
      <w:pPr>
        <w:spacing w:after="0" w:line="240" w:lineRule="auto"/>
      </w:pPr>
      <w:r>
        <w:rPr>
          <w:rFonts w:ascii="Arial" w:eastAsia="Arial" w:hAnsi="Arial" w:cs="Arial"/>
          <w:b/>
          <w:i/>
          <w:color w:val="222222"/>
          <w:sz w:val="20"/>
          <w:u w:val="single"/>
        </w:rPr>
        <w:lastRenderedPageBreak/>
        <w:t>P</w:t>
      </w:r>
      <w:r>
        <w:rPr>
          <w:rFonts w:ascii="Arial" w:eastAsia="Arial" w:hAnsi="Arial" w:cs="Arial"/>
          <w:b/>
          <w:i/>
          <w:sz w:val="20"/>
          <w:u w:val="single"/>
        </w:rPr>
        <w:t xml:space="preserve">artial </w:t>
      </w:r>
      <w:r>
        <w:rPr>
          <w:rFonts w:ascii="Arial" w:eastAsia="Arial" w:hAnsi="Arial" w:cs="Arial"/>
          <w:sz w:val="20"/>
        </w:rPr>
        <w:t>List of Common Areas across NCAR:</w:t>
      </w:r>
    </w:p>
    <w:p w:rsidR="00120332" w:rsidRDefault="00DA24B6">
      <w:pPr>
        <w:numPr>
          <w:ilvl w:val="3"/>
          <w:numId w:val="13"/>
        </w:numPr>
        <w:spacing w:after="0" w:line="240" w:lineRule="auto"/>
        <w:ind w:left="990" w:hanging="359"/>
      </w:pPr>
      <w:r>
        <w:rPr>
          <w:rFonts w:ascii="Arial" w:eastAsia="Arial" w:hAnsi="Arial" w:cs="Arial"/>
          <w:b/>
          <w:sz w:val="20"/>
        </w:rPr>
        <w:t xml:space="preserve">CESM </w:t>
      </w:r>
      <w:r>
        <w:rPr>
          <w:rFonts w:ascii="Arial" w:eastAsia="Arial" w:hAnsi="Arial" w:cs="Arial"/>
          <w:sz w:val="20"/>
        </w:rPr>
        <w:t>(Community Earth System Model)</w:t>
      </w:r>
    </w:p>
    <w:p w:rsidR="00120332" w:rsidRDefault="00DA24B6">
      <w:pPr>
        <w:numPr>
          <w:ilvl w:val="3"/>
          <w:numId w:val="13"/>
        </w:numPr>
        <w:spacing w:after="0" w:line="240" w:lineRule="auto"/>
        <w:ind w:left="990" w:hanging="359"/>
      </w:pPr>
      <w:r>
        <w:rPr>
          <w:rFonts w:ascii="Arial" w:eastAsia="Arial" w:hAnsi="Arial" w:cs="Arial"/>
          <w:b/>
          <w:sz w:val="20"/>
        </w:rPr>
        <w:t xml:space="preserve">WRF </w:t>
      </w:r>
      <w:r>
        <w:rPr>
          <w:rFonts w:ascii="Arial" w:eastAsia="Arial" w:hAnsi="Arial" w:cs="Arial"/>
          <w:sz w:val="20"/>
        </w:rPr>
        <w:t>(Weather Research and Forecasting Model)</w:t>
      </w:r>
    </w:p>
    <w:p w:rsidR="00120332" w:rsidRDefault="00DA24B6">
      <w:pPr>
        <w:numPr>
          <w:ilvl w:val="3"/>
          <w:numId w:val="13"/>
        </w:numPr>
        <w:spacing w:after="0" w:line="240" w:lineRule="auto"/>
        <w:ind w:left="990" w:hanging="359"/>
      </w:pPr>
      <w:r>
        <w:rPr>
          <w:rFonts w:ascii="Arial" w:eastAsia="Arial" w:hAnsi="Arial" w:cs="Arial"/>
          <w:b/>
          <w:sz w:val="20"/>
        </w:rPr>
        <w:t xml:space="preserve">WACCM </w:t>
      </w:r>
      <w:r>
        <w:rPr>
          <w:rFonts w:ascii="Arial" w:eastAsia="Arial" w:hAnsi="Arial" w:cs="Arial"/>
          <w:sz w:val="20"/>
        </w:rPr>
        <w:t>(Whole Atmosphere Community Climate Model)</w:t>
      </w:r>
    </w:p>
    <w:p w:rsidR="00120332" w:rsidRDefault="00DA24B6">
      <w:pPr>
        <w:numPr>
          <w:ilvl w:val="3"/>
          <w:numId w:val="13"/>
        </w:numPr>
        <w:spacing w:after="0" w:line="240" w:lineRule="auto"/>
        <w:ind w:left="990" w:hanging="359"/>
      </w:pPr>
      <w:r>
        <w:rPr>
          <w:rFonts w:ascii="Arial" w:eastAsia="Arial" w:hAnsi="Arial" w:cs="Arial"/>
          <w:b/>
          <w:sz w:val="20"/>
        </w:rPr>
        <w:t xml:space="preserve">MPAS </w:t>
      </w:r>
      <w:r>
        <w:rPr>
          <w:rFonts w:ascii="Arial" w:eastAsia="Arial" w:hAnsi="Arial" w:cs="Arial"/>
          <w:sz w:val="20"/>
        </w:rPr>
        <w:t>(Model for Prediction Across Scales)</w:t>
      </w:r>
    </w:p>
    <w:p w:rsidR="00120332" w:rsidRDefault="00DA24B6">
      <w:pPr>
        <w:numPr>
          <w:ilvl w:val="3"/>
          <w:numId w:val="13"/>
        </w:numPr>
        <w:spacing w:after="0" w:line="240" w:lineRule="auto"/>
        <w:ind w:left="990" w:hanging="359"/>
        <w:rPr>
          <w:b/>
        </w:rPr>
      </w:pPr>
      <w:r>
        <w:rPr>
          <w:rFonts w:ascii="Arial" w:eastAsia="Arial" w:hAnsi="Arial" w:cs="Arial"/>
          <w:b/>
          <w:sz w:val="20"/>
        </w:rPr>
        <w:t xml:space="preserve">GTR </w:t>
      </w:r>
      <w:r>
        <w:rPr>
          <w:rFonts w:ascii="Arial" w:eastAsia="Arial" w:hAnsi="Arial" w:cs="Arial"/>
          <w:sz w:val="20"/>
        </w:rPr>
        <w:t>(Geophysical Turbulence Research)</w:t>
      </w:r>
    </w:p>
    <w:p w:rsidR="00120332" w:rsidRDefault="00DA24B6">
      <w:pPr>
        <w:numPr>
          <w:ilvl w:val="3"/>
          <w:numId w:val="13"/>
        </w:numPr>
        <w:spacing w:after="0" w:line="240" w:lineRule="auto"/>
        <w:ind w:left="990" w:hanging="359"/>
      </w:pPr>
      <w:r>
        <w:rPr>
          <w:rFonts w:ascii="Arial" w:eastAsia="Arial" w:hAnsi="Arial" w:cs="Arial"/>
          <w:b/>
          <w:sz w:val="20"/>
        </w:rPr>
        <w:t>Observing Facility</w:t>
      </w:r>
      <w:r>
        <w:rPr>
          <w:rFonts w:ascii="Arial" w:eastAsia="Arial" w:hAnsi="Arial" w:cs="Arial"/>
          <w:sz w:val="20"/>
        </w:rPr>
        <w:t xml:space="preserve"> (by name, i.e. C-130, GV, ISFS...)  Development, Operation &amp; Maintenance</w:t>
      </w:r>
    </w:p>
    <w:p w:rsidR="00120332" w:rsidRDefault="00DA24B6">
      <w:pPr>
        <w:numPr>
          <w:ilvl w:val="3"/>
          <w:numId w:val="13"/>
        </w:numPr>
        <w:spacing w:after="0" w:line="240" w:lineRule="auto"/>
        <w:ind w:left="990" w:hanging="359"/>
        <w:rPr>
          <w:b/>
        </w:rPr>
      </w:pPr>
      <w:r>
        <w:rPr>
          <w:rFonts w:ascii="Arial" w:eastAsia="Arial" w:hAnsi="Arial" w:cs="Arial"/>
          <w:b/>
          <w:sz w:val="20"/>
        </w:rPr>
        <w:t xml:space="preserve">Field Campaign </w:t>
      </w:r>
      <w:r>
        <w:rPr>
          <w:rFonts w:ascii="Arial" w:eastAsia="Arial" w:hAnsi="Arial" w:cs="Arial"/>
          <w:sz w:val="20"/>
        </w:rPr>
        <w:t>(by acronym, i.e. PACE)</w:t>
      </w:r>
    </w:p>
    <w:p w:rsidR="00120332" w:rsidRDefault="00DA24B6">
      <w:pPr>
        <w:numPr>
          <w:ilvl w:val="3"/>
          <w:numId w:val="13"/>
        </w:numPr>
        <w:spacing w:after="0" w:line="240" w:lineRule="auto"/>
        <w:ind w:left="990" w:hanging="359"/>
        <w:rPr>
          <w:b/>
        </w:rPr>
      </w:pPr>
      <w:r>
        <w:rPr>
          <w:rFonts w:ascii="Arial" w:eastAsia="Arial" w:hAnsi="Arial" w:cs="Arial"/>
          <w:b/>
          <w:sz w:val="20"/>
        </w:rPr>
        <w:t>Co</w:t>
      </w:r>
      <w:r>
        <w:rPr>
          <w:rFonts w:ascii="Arial" w:eastAsia="Arial" w:hAnsi="Arial" w:cs="Arial"/>
          <w:b/>
          <w:sz w:val="20"/>
        </w:rPr>
        <w:t>mmunity Modeling</w:t>
      </w:r>
      <w:r>
        <w:rPr>
          <w:rFonts w:ascii="Arial" w:eastAsia="Arial" w:hAnsi="Arial" w:cs="Arial"/>
          <w:sz w:val="20"/>
        </w:rPr>
        <w:t xml:space="preserve"> Development, Application, Support</w:t>
      </w:r>
    </w:p>
    <w:p w:rsidR="00120332" w:rsidRDefault="00DA24B6">
      <w:pPr>
        <w:numPr>
          <w:ilvl w:val="3"/>
          <w:numId w:val="13"/>
        </w:numPr>
        <w:spacing w:after="0" w:line="240" w:lineRule="auto"/>
        <w:ind w:left="990" w:hanging="359"/>
        <w:rPr>
          <w:b/>
        </w:rPr>
      </w:pPr>
      <w:r>
        <w:rPr>
          <w:rFonts w:ascii="Arial" w:eastAsia="Arial" w:hAnsi="Arial" w:cs="Arial"/>
          <w:b/>
          <w:sz w:val="20"/>
        </w:rPr>
        <w:t>Scientific Research</w:t>
      </w:r>
    </w:p>
    <w:p w:rsidR="00120332" w:rsidRDefault="00DA24B6">
      <w:pPr>
        <w:numPr>
          <w:ilvl w:val="3"/>
          <w:numId w:val="13"/>
        </w:numPr>
        <w:spacing w:after="0" w:line="240" w:lineRule="auto"/>
        <w:ind w:left="990" w:hanging="359"/>
        <w:rPr>
          <w:b/>
        </w:rPr>
      </w:pPr>
      <w:r>
        <w:rPr>
          <w:rFonts w:ascii="Arial" w:eastAsia="Arial" w:hAnsi="Arial" w:cs="Arial"/>
          <w:b/>
          <w:sz w:val="20"/>
        </w:rPr>
        <w:t>Technology Transfer</w:t>
      </w:r>
    </w:p>
    <w:p w:rsidR="00120332" w:rsidRDefault="00DA24B6">
      <w:pPr>
        <w:numPr>
          <w:ilvl w:val="3"/>
          <w:numId w:val="13"/>
        </w:numPr>
        <w:spacing w:after="0" w:line="240" w:lineRule="auto"/>
        <w:ind w:left="990" w:hanging="359"/>
        <w:rPr>
          <w:b/>
        </w:rPr>
      </w:pPr>
      <w:r>
        <w:rPr>
          <w:rFonts w:ascii="Arial" w:eastAsia="Arial" w:hAnsi="Arial" w:cs="Arial"/>
          <w:b/>
          <w:sz w:val="20"/>
        </w:rPr>
        <w:t>Data Services</w:t>
      </w:r>
      <w:r>
        <w:rPr>
          <w:rFonts w:ascii="Arial" w:eastAsia="Arial" w:hAnsi="Arial" w:cs="Arial"/>
          <w:sz w:val="20"/>
        </w:rPr>
        <w:t xml:space="preserve"> Development, Maintenance, Operation, Assimilation</w:t>
      </w:r>
    </w:p>
    <w:p w:rsidR="00120332" w:rsidRDefault="00DA24B6">
      <w:pPr>
        <w:numPr>
          <w:ilvl w:val="3"/>
          <w:numId w:val="13"/>
        </w:numPr>
        <w:spacing w:after="0" w:line="240" w:lineRule="auto"/>
        <w:ind w:left="990" w:hanging="359"/>
        <w:rPr>
          <w:b/>
        </w:rPr>
      </w:pPr>
      <w:r>
        <w:rPr>
          <w:rFonts w:ascii="Arial" w:eastAsia="Arial" w:hAnsi="Arial" w:cs="Arial"/>
          <w:b/>
          <w:sz w:val="20"/>
        </w:rPr>
        <w:t>Supercomputing Facilities</w:t>
      </w:r>
    </w:p>
    <w:p w:rsidR="00120332" w:rsidRDefault="00DA24B6">
      <w:pPr>
        <w:numPr>
          <w:ilvl w:val="3"/>
          <w:numId w:val="13"/>
        </w:numPr>
        <w:spacing w:after="0" w:line="240" w:lineRule="auto"/>
        <w:ind w:left="990" w:hanging="359"/>
        <w:rPr>
          <w:b/>
        </w:rPr>
      </w:pPr>
      <w:r>
        <w:rPr>
          <w:rFonts w:ascii="Arial" w:eastAsia="Arial" w:hAnsi="Arial" w:cs="Arial"/>
          <w:b/>
          <w:sz w:val="20"/>
        </w:rPr>
        <w:t>Education and Outreach</w:t>
      </w:r>
    </w:p>
    <w:p w:rsidR="00120332" w:rsidRDefault="00DA24B6">
      <w:pPr>
        <w:numPr>
          <w:ilvl w:val="3"/>
          <w:numId w:val="13"/>
        </w:numPr>
        <w:spacing w:after="0" w:line="240" w:lineRule="auto"/>
        <w:ind w:left="990" w:hanging="359"/>
        <w:rPr>
          <w:b/>
        </w:rPr>
      </w:pPr>
      <w:r>
        <w:rPr>
          <w:rFonts w:ascii="Arial" w:eastAsia="Arial" w:hAnsi="Arial" w:cs="Arial"/>
          <w:b/>
          <w:sz w:val="20"/>
        </w:rPr>
        <w:t>Diversity</w:t>
      </w:r>
    </w:p>
    <w:p w:rsidR="00120332" w:rsidRDefault="00DA24B6">
      <w:pPr>
        <w:numPr>
          <w:ilvl w:val="3"/>
          <w:numId w:val="13"/>
        </w:numPr>
        <w:spacing w:after="0" w:line="240" w:lineRule="auto"/>
        <w:ind w:left="990" w:hanging="359"/>
        <w:rPr>
          <w:b/>
        </w:rPr>
      </w:pPr>
      <w:r>
        <w:rPr>
          <w:rFonts w:ascii="Arial" w:eastAsia="Arial" w:hAnsi="Arial" w:cs="Arial"/>
          <w:b/>
          <w:sz w:val="20"/>
        </w:rPr>
        <w:t>Visitors</w:t>
      </w:r>
    </w:p>
    <w:p w:rsidR="00120332" w:rsidRDefault="00DA24B6">
      <w:pPr>
        <w:numPr>
          <w:ilvl w:val="3"/>
          <w:numId w:val="13"/>
        </w:numPr>
        <w:spacing w:after="0" w:line="240" w:lineRule="auto"/>
        <w:ind w:left="990" w:hanging="359"/>
        <w:rPr>
          <w:b/>
        </w:rPr>
      </w:pPr>
      <w:r>
        <w:rPr>
          <w:rFonts w:ascii="Arial" w:eastAsia="Arial" w:hAnsi="Arial" w:cs="Arial"/>
          <w:b/>
          <w:sz w:val="20"/>
        </w:rPr>
        <w:t>Lab Infrastructure</w:t>
      </w:r>
      <w:r>
        <w:rPr>
          <w:rFonts w:ascii="Arial" w:eastAsia="Arial" w:hAnsi="Arial" w:cs="Arial"/>
          <w:sz w:val="20"/>
        </w:rPr>
        <w:t xml:space="preserve"> (Administratio</w:t>
      </w:r>
      <w:r>
        <w:rPr>
          <w:rFonts w:ascii="Arial" w:eastAsia="Arial" w:hAnsi="Arial" w:cs="Arial"/>
          <w:sz w:val="20"/>
        </w:rPr>
        <w:t>n, CCSC, Web…)</w:t>
      </w:r>
    </w:p>
    <w:p w:rsidR="00120332" w:rsidRDefault="00120332">
      <w:pPr>
        <w:spacing w:after="0" w:line="240" w:lineRule="auto"/>
      </w:pPr>
    </w:p>
    <w:p w:rsidR="00120332" w:rsidRDefault="00DA24B6">
      <w:pPr>
        <w:spacing w:after="0" w:line="240" w:lineRule="auto"/>
      </w:pPr>
      <w:r>
        <w:rPr>
          <w:rFonts w:ascii="Arial" w:eastAsia="Arial" w:hAnsi="Arial" w:cs="Arial"/>
          <w:sz w:val="20"/>
        </w:rPr>
        <w:t>Below are sample illustrations of how Projects / Activities can be set up within a Lab, from simple to detailed, where the name begins with the Lab and Division/Facility/Subfacility and EO for Education and Outreach to help group activities</w:t>
      </w:r>
      <w:r>
        <w:rPr>
          <w:rFonts w:ascii="Arial" w:eastAsia="Arial" w:hAnsi="Arial" w:cs="Arial"/>
          <w:sz w:val="20"/>
        </w:rPr>
        <w:t xml:space="preserve"> for selection in the dropdown list.</w:t>
      </w:r>
    </w:p>
    <w:p w:rsidR="00120332" w:rsidRDefault="00120332">
      <w:pPr>
        <w:spacing w:after="0" w:line="240" w:lineRule="auto"/>
      </w:pPr>
    </w:p>
    <w:p w:rsidR="00120332" w:rsidRDefault="00DA24B6">
      <w:pPr>
        <w:spacing w:after="0" w:line="240" w:lineRule="auto"/>
      </w:pPr>
      <w:r>
        <w:rPr>
          <w:rFonts w:ascii="Arial" w:eastAsia="Arial" w:hAnsi="Arial" w:cs="Arial"/>
          <w:b/>
          <w:color w:val="222222"/>
          <w:sz w:val="20"/>
        </w:rPr>
        <w:t>Simple:</w:t>
      </w:r>
    </w:p>
    <w:p w:rsidR="00120332" w:rsidRDefault="00DA24B6">
      <w:pPr>
        <w:spacing w:after="0" w:line="240" w:lineRule="auto"/>
      </w:pPr>
      <w:r>
        <w:rPr>
          <w:rFonts w:ascii="Arial" w:eastAsia="Arial" w:hAnsi="Arial" w:cs="Arial"/>
          <w:color w:val="222222"/>
          <w:sz w:val="20"/>
        </w:rPr>
        <w:t>NESL MMM EO Education and Outreach</w:t>
      </w:r>
    </w:p>
    <w:p w:rsidR="00120332" w:rsidRDefault="00DA24B6">
      <w:pPr>
        <w:spacing w:after="0" w:line="240" w:lineRule="auto"/>
      </w:pPr>
      <w:r>
        <w:rPr>
          <w:rFonts w:ascii="Arial" w:eastAsia="Arial" w:hAnsi="Arial" w:cs="Arial"/>
          <w:color w:val="222222"/>
          <w:sz w:val="20"/>
        </w:rPr>
        <w:t>NESL CGD EO Education and Outreach</w:t>
      </w:r>
    </w:p>
    <w:p w:rsidR="00120332" w:rsidRDefault="00120332">
      <w:pPr>
        <w:spacing w:after="0" w:line="240" w:lineRule="auto"/>
      </w:pPr>
    </w:p>
    <w:p w:rsidR="00120332" w:rsidRDefault="00DA24B6">
      <w:pPr>
        <w:spacing w:after="0" w:line="240" w:lineRule="auto"/>
      </w:pPr>
      <w:r>
        <w:rPr>
          <w:rFonts w:ascii="Arial" w:eastAsia="Arial" w:hAnsi="Arial" w:cs="Arial"/>
          <w:b/>
          <w:color w:val="222222"/>
          <w:sz w:val="20"/>
        </w:rPr>
        <w:t>Detailed:</w:t>
      </w:r>
    </w:p>
    <w:p w:rsidR="00120332" w:rsidRDefault="00DA24B6">
      <w:pPr>
        <w:spacing w:after="0" w:line="240" w:lineRule="auto"/>
      </w:pPr>
      <w:r>
        <w:rPr>
          <w:rFonts w:ascii="Arial" w:eastAsia="Arial" w:hAnsi="Arial" w:cs="Arial"/>
          <w:color w:val="222222"/>
          <w:sz w:val="20"/>
        </w:rPr>
        <w:t>NESL MMM EO SOARS Support</w:t>
      </w:r>
    </w:p>
    <w:p w:rsidR="00120332" w:rsidRDefault="00DA24B6">
      <w:pPr>
        <w:spacing w:after="0" w:line="240" w:lineRule="auto"/>
      </w:pPr>
      <w:r>
        <w:rPr>
          <w:rFonts w:ascii="Arial" w:eastAsia="Arial" w:hAnsi="Arial" w:cs="Arial"/>
          <w:color w:val="222222"/>
          <w:sz w:val="20"/>
        </w:rPr>
        <w:t>NESL MMM EO Post Doc Support</w:t>
      </w:r>
    </w:p>
    <w:p w:rsidR="00120332" w:rsidRDefault="00DA24B6">
      <w:pPr>
        <w:spacing w:after="0" w:line="240" w:lineRule="auto"/>
      </w:pPr>
      <w:r>
        <w:rPr>
          <w:rFonts w:ascii="Arial" w:eastAsia="Arial" w:hAnsi="Arial" w:cs="Arial"/>
          <w:color w:val="222222"/>
          <w:sz w:val="20"/>
        </w:rPr>
        <w:t>NESL MMM EO Student Assistant Support</w:t>
      </w:r>
    </w:p>
    <w:p w:rsidR="00120332" w:rsidRDefault="00DA24B6">
      <w:pPr>
        <w:spacing w:after="0" w:line="240" w:lineRule="auto"/>
      </w:pPr>
      <w:r>
        <w:rPr>
          <w:rFonts w:ascii="Arial" w:eastAsia="Arial" w:hAnsi="Arial" w:cs="Arial"/>
          <w:color w:val="222222"/>
          <w:sz w:val="20"/>
        </w:rPr>
        <w:t>NESL MMM EO Visitors</w:t>
      </w:r>
    </w:p>
    <w:p w:rsidR="00120332" w:rsidRDefault="00DA24B6">
      <w:pPr>
        <w:spacing w:after="0" w:line="240" w:lineRule="auto"/>
      </w:pPr>
      <w:r>
        <w:rPr>
          <w:rFonts w:ascii="Arial" w:eastAsia="Arial" w:hAnsi="Arial" w:cs="Arial"/>
          <w:color w:val="222222"/>
          <w:sz w:val="20"/>
        </w:rPr>
        <w:t>NESL CGD EO SOARS Support</w:t>
      </w:r>
    </w:p>
    <w:p w:rsidR="00120332" w:rsidRDefault="00DA24B6">
      <w:pPr>
        <w:spacing w:after="0" w:line="240" w:lineRule="auto"/>
      </w:pPr>
      <w:r>
        <w:rPr>
          <w:rFonts w:ascii="Arial" w:eastAsia="Arial" w:hAnsi="Arial" w:cs="Arial"/>
          <w:color w:val="222222"/>
          <w:sz w:val="20"/>
        </w:rPr>
        <w:t>NESL CGD EO Post Doc Support</w:t>
      </w:r>
    </w:p>
    <w:p w:rsidR="00120332" w:rsidRDefault="00DA24B6">
      <w:pPr>
        <w:spacing w:after="0" w:line="240" w:lineRule="auto"/>
      </w:pPr>
      <w:r>
        <w:rPr>
          <w:rFonts w:ascii="Arial" w:eastAsia="Arial" w:hAnsi="Arial" w:cs="Arial"/>
          <w:color w:val="222222"/>
          <w:sz w:val="20"/>
        </w:rPr>
        <w:t xml:space="preserve">NESL CGD EO Student Assistant Support </w:t>
      </w:r>
    </w:p>
    <w:p w:rsidR="00120332" w:rsidRDefault="00DA24B6">
      <w:pPr>
        <w:spacing w:after="0" w:line="240" w:lineRule="auto"/>
      </w:pPr>
      <w:r>
        <w:rPr>
          <w:rFonts w:ascii="Arial" w:eastAsia="Arial" w:hAnsi="Arial" w:cs="Arial"/>
          <w:color w:val="222222"/>
          <w:sz w:val="20"/>
        </w:rPr>
        <w:t>NESL CGD EO Visitors</w:t>
      </w:r>
    </w:p>
    <w:p w:rsidR="00120332" w:rsidRDefault="00120332"/>
    <w:sectPr w:rsidR="001203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E76"/>
    <w:multiLevelType w:val="multilevel"/>
    <w:tmpl w:val="55C0266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11CB59E6"/>
    <w:multiLevelType w:val="multilevel"/>
    <w:tmpl w:val="5180F40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
    <w:nsid w:val="133811E2"/>
    <w:multiLevelType w:val="multilevel"/>
    <w:tmpl w:val="9A843114"/>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17E01337"/>
    <w:multiLevelType w:val="multilevel"/>
    <w:tmpl w:val="9E468CE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nsid w:val="1DA16F8E"/>
    <w:multiLevelType w:val="multilevel"/>
    <w:tmpl w:val="D4266FB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5">
    <w:nsid w:val="204D5709"/>
    <w:multiLevelType w:val="multilevel"/>
    <w:tmpl w:val="89727B9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257D7368"/>
    <w:multiLevelType w:val="multilevel"/>
    <w:tmpl w:val="7E6EDE0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nsid w:val="278F400B"/>
    <w:multiLevelType w:val="multilevel"/>
    <w:tmpl w:val="3A7E7E4C"/>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8">
    <w:nsid w:val="3A0E7C15"/>
    <w:multiLevelType w:val="multilevel"/>
    <w:tmpl w:val="EF44A7E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5346728B"/>
    <w:multiLevelType w:val="multilevel"/>
    <w:tmpl w:val="38E896CC"/>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0">
    <w:nsid w:val="56ED0323"/>
    <w:multiLevelType w:val="multilevel"/>
    <w:tmpl w:val="1922B494"/>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1">
    <w:nsid w:val="64BB16AF"/>
    <w:multiLevelType w:val="multilevel"/>
    <w:tmpl w:val="C3DC65E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2">
    <w:nsid w:val="69390E65"/>
    <w:multiLevelType w:val="multilevel"/>
    <w:tmpl w:val="E7BCD82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3">
    <w:nsid w:val="6C1C4AFD"/>
    <w:multiLevelType w:val="multilevel"/>
    <w:tmpl w:val="3298735E"/>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5"/>
  </w:num>
  <w:num w:numId="2">
    <w:abstractNumId w:val="12"/>
  </w:num>
  <w:num w:numId="3">
    <w:abstractNumId w:val="7"/>
  </w:num>
  <w:num w:numId="4">
    <w:abstractNumId w:val="11"/>
  </w:num>
  <w:num w:numId="5">
    <w:abstractNumId w:val="0"/>
  </w:num>
  <w:num w:numId="6">
    <w:abstractNumId w:val="13"/>
  </w:num>
  <w:num w:numId="7">
    <w:abstractNumId w:val="6"/>
  </w:num>
  <w:num w:numId="8">
    <w:abstractNumId w:val="8"/>
  </w:num>
  <w:num w:numId="9">
    <w:abstractNumId w:val="3"/>
  </w:num>
  <w:num w:numId="10">
    <w:abstractNumId w:val="1"/>
  </w:num>
  <w:num w:numId="11">
    <w:abstractNumId w:val="9"/>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20332"/>
    <w:rsid w:val="00120332"/>
    <w:rsid w:val="00DA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 Creating and Maintaining Lists for Mapping.docx.docx</vt:lpstr>
    </vt:vector>
  </TitlesOfParts>
  <Company>NCAR</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Creating and Maintaining Lists for Mapping.docx.docx</dc:title>
  <dc:creator>reta</dc:creator>
  <cp:lastModifiedBy>reta</cp:lastModifiedBy>
  <cp:revision>2</cp:revision>
  <dcterms:created xsi:type="dcterms:W3CDTF">2014-11-19T16:33:00Z</dcterms:created>
  <dcterms:modified xsi:type="dcterms:W3CDTF">2014-11-19T16:33:00Z</dcterms:modified>
</cp:coreProperties>
</file>